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13. septembra noteikumos Nr. 572 "Valsts un Eiropas Savienības atbalsta piešķiršanas kārtība pasākumā "Investīcijas zvejas un akvakultūras produktu apstrādē"""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13. septembra noteikumos Nr. 572 "Valsts un Eiropas Savienības atbalsta piešķiršanas kārtība pasākumā "Investīcijas zvejas un akvakultūras produktu apstrādē""" ir noteikta kārtība, kādā piešķir valsts un Eiropas Savienības atbalstu no Eiropas Jūrlietu, zvejniecības un akvakultūras fonda saistītajā darbības veidā "Investīcijas zvejas un akvakultūras produktu apstrādē" (turpmāk – pasākums) saskaņā ar 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2022. gada 13. septembra noteikumus Nr. 572 "Valsts un Eiropas Savienības atbalsta piešķiršanas kārtība pasākumā "Investīcijas zvejas un akvakultūras produktu apstrādē""", paredzot atbalstu zivju blakusproduktu pārstrādes uzņēmumiem, kuri paredz projektā ieguldījumus zivju blakusproduktu pārstrādei tikai cilvēku 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2022. gada 13. septembra noteikumi Nr. 572 "Valsts un Eiropas Savienības atbalsta piešķiršanas kārtība pasākumā "Investīcijas zvejas un akvakultūras produktu apstrādē""" (turpmāk – noteikumi Nr. 572) paredz atbalstu Pārtikas un veterinārajā dienestā (turpmāk - PVD) atzītiem zvejas produktu apstrādes uzņēmumiem, PVD reģistrētām fiziskām vai juridiskām personām, kas mājas apstākļos apstrādā zvejas produktus, esošiem komersantiem, kas veido jaunu zvejas produktu apstrādes uzņēmumu, jaundibinātiem komersantiem, kas veido jaunu zvejas produktu apstrādes uzņēmumu, kura pirmais pārskata vai taksācijas gads vēl nav beidzies, vai fiziskām vai juridiskām personām, kas plāno mājas apstākļos apstrādāt zvejas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 atbalstu varētu pretendēt arī PVD atzīti zivju blakusproduktu pārstrādes uzņēmumi, kuri paredz projektā ieguldījumus zivju blakusproduktu pārstrādei tikai cilvēku patēriņam, noteikumu projektā tiek grozīts noteikumu Nr. 572 5.1. apakšpunkts un 26.2.8.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veterinārajā dienestā atzīti zivju blakusproduktu pārstrādes uzņēmumi, kuri paredz projektā ieguldījumus zivju blakusproduktu pārstrādei cilvēku 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minētajām juridiskajām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tiks nodrošināta sākotnēji plānotā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nozares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23-TA-3270</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23-TA-3270</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anotācija_(ex_ante)_23-TA-3270.docx</dc:title>
</cp:coreProperties>
</file>

<file path=docProps/custom.xml><?xml version="1.0" encoding="utf-8"?>
<Properties xmlns="http://schemas.openxmlformats.org/officeDocument/2006/custom-properties" xmlns:vt="http://schemas.openxmlformats.org/officeDocument/2006/docPropsVTypes"/>
</file>