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MK Noteikumu projekts) izstrādāts, lai novirzītu finansējumu citu Ekonomikas ministrijas atbalsta programmu īstenošanai un nezaudētu Latvijai piešķirto Atveseļošanas un noturības mehānisma (turpmāk – ANM) finansējumu.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atbalsta programmas pieejamo ANM finansējumu, lai novirzītu to citu atbalsta programmu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investīciju apjomu pētniecībā un attīstībā, ANM ietvaros ir piešķirts finansējums ekonomikas transformācijas un produktivitātes reformai, 5.1. reformu un investīciju virziena “Produktivitātes paaugstināšana caur investīciju apjoma palielināšanu P&amp;A” 5.1.1.r. reformas ”Inovāciju pārvaldība un privāto P&amp;A investīciju motivācija” 5.1.1.2.i. investīcijai “Atbalsta instruments pētniecības un internacionalizācijas veicināšanai” (turpmāk – 5.1.1.2.i. investīcija).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ANM 5.1.1.2.i. investīcijas finansējums ir 108 912 082 euro. 5.1.1.2.i. investīcija tiek ieviesta četrās kārtās: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Pārejas finansējums – Ministru kabineta 2022. gada 5. jūlija noteikumi Nr.418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 Kopējais finansējums 25 000 000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pētniecībai – Ministru kabineta 2024. gada 9. janvāra noteikumi Nr.32 "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Kopējais finansējums 47 663 651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tīkli – Ministru kabineta 2023. gada 24. oktobra noteikumi Nr.609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Kopējais finansējums 5 248 431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Eiropai svarīgo kopīgo interešu projekti – Ministru kabineta 2024. gada 20. februāra noteikumi Nr.116 "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Noteikumi Nr.116). Kopējais finansējums 31 000 000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5.1.1.2.i. investīcijas pirmās, otrās un trešās kārtas ietvaros Centrālā finanšu un līgumu aģentūra (turpmāk – CFLA) ir noslēgusi līgumus ar finansējuma saņēmējiem par visu pieejamo finansējumu. Ceturtās kārtas ietvaros š.g. aprīlī ir noslēgusies projektu iesniegumu atlase, kurā CFLA ir noslēgusi 8 līgumus ar finansējuma saņēmējiem, un ir palicis nesadalīts finansējums 6 964 834,35 euro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Nr.116 ietvaros kopējais pieejamais ANM finansējums ir 31 000 000 euro. Ņemot vērā, ka CFLA ir noslēgusi 8 līgumus ar finansējuma saņēmējiem par kopējo ANM finansējumu 24 035 165.65 euro ir izveidojies ANM finansējuma atlikums 6 964 834.35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resursu izmantošanu, nezaudētu Latvijai piešķirto ANM finansējumu un veicinātu plānoto pasākumu īstenošanu, nesadalīto finansējumu (6 964 834.35 euro) nepieciešams novirzīta citu atbalsta programmu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tematiskās komitejas 2025. gada 29. maija protokola (pieejams Valsts kancelejas mājas lapā: https://www.mk.gov.lv/lv/eiropas-savienibas-fondu-tematiska-komiteja-0) 2. punkta “Atveseļošanas fonda finansējuma ietaupījumu izmantošana” 2.1.2. apakšpunktā noteiktajam, ir atbalstīta ANM ietaupījumu pārdale 12 milj. euro apmērā Ekonomikas ministrijas ANM 3.1.1.7.i. investīcijai “Aizdevumi nekustamā īpašuma attīstītājiem zemas īres maksas mājokļu būvniecībai”, ko īsteno akciju sabiedrība “Attīstības finanšu institūcija Altum”.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ANM 5.1.1.2.i. investīcijas nesadalītais finansējums (6 964 833 euro) tiek novirzīts: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3.1.1.7.i. investīcijai “Aizdevumi nekustamā īpašuma attīstītājiem zemas īres maksas mājokļu būvniecībai”, 6 011 425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1.2.1.4.i. investīcijai “Energoefektivitātes uzlabošana valsts sektora ēkās, t. sk. vēsturiskajās ēkās", 953 408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Noteikumu Nr.116 5. punktu, nosakot, ka investīcijas ietvaros kopējais pieejamais ANM finansējums ir 24 035 166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neietekmēs Noteikumu Nr.116 ietvaros atlasītos finansējuma saņēmējus un ANM rādītāja Nr.158 izpildi, atbilstoši ANM Darbības kārtībai, par kuru vienojušās Eiropas Komisija un Latvija.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5 783 566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7 233 565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2 118 776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5 783 566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7 233 565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2 118 776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5 783 566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7 233 565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2 118 776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5 783 566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7 233 565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2 118 776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7 233 565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2 118 776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to, ka Eiropas Savienības fondu tematiskās komitejas 2025.gada 29. maija sēdē tika atbalstīts priekšlikums par Atveseļošanas fonda ietaupījumu pārdali pieteiktajām vajadzībām - Ekonomikas ministrijas īres mājokļu programmai – 12 milj.EUR, kā arī potenciāli papildu identificētos ietaupījumus 2,3 milj. EUR apjomā, šai atbalsta programmai tiek novirzīts Investīcijas ietvaros nesadalītais finansējums - 6 964 834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ietvaros kopējais pieejamais finansējums pēc finansējuma pārdales ir 24 035 166 euro, ko 100 procentu apmērā sastāda ANM finansējums. Investīcijas izdevumu attiecināmības termiņš ir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finansējuma izlietojums pa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 184 013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  5 783 566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   8 715 246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   7 233 565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 –   2 118 776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Finanšu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25-TA-2020</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25-TA-2020</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anotācija_(ex_ante)_25-TA-2020.docx</dc:title>
</cp:coreProperties>
</file>

<file path=docProps/custom.xml><?xml version="1.0" encoding="utf-8"?>
<Properties xmlns="http://schemas.openxmlformats.org/officeDocument/2006/custom-properties" xmlns:vt="http://schemas.openxmlformats.org/officeDocument/2006/docPropsVTypes"/>
</file>