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"Atbalsta energoietilpīgiem apstrādes rūpniecības komersantiem Krievijas militārās agresijas pret Ukrainu radīto seku uz ekonomiku mazināšanai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"Atbalsta energoietilpīgiem apstrādes rūpniecības komersantiem Krievijas militārās agresijas pret Ukrainu radīto seku uz ekonomiku mazināšanai īstenošanas noteikumi" (turpmāk - MK Noteikumu projekts) paredz nosacījumus un kārtību atbilstoši 2022. gada 2. jūnijā apstiprinātajā likumā "Pret Ukrainu vērstās Krievijas militārās agresijas dēļ piemēroto sankciju un pretpasākumu izraisīto ekonomisko seku pārvarēšanas atbalsta likums" (turpmāk - Likums) noteiktā atbalsta piešķiršanai un administrēšanai.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izstrādāts, lai samazinātu militārās agresijas seku uz Latvijas ekonomiku ietekmi uz saimnieciskās darbības veicējiem, kuriem ir nepieciešams likviditātes atbalsts, pamatojoties uz 2022. gada 24. marta paziņojuma "Krīzes pagaidu regulējums valsts atbalsta pasākumiem, ar ko atbalsta ekonomiku pēc Krievijas agresijas pret Ukrainu" (2022/C 131 I/01) 2.4. sadaļu " Atbalsts attiecībā uz papildu izmaksām, kas radušās sakarā ar ārkārtīgi krasu energoresursu cenu pieaugumu  "(turpmāk - Komisijas paziņojums).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sagatavots, lai samazinātu militārās agresijas sekas, kas izpaužas kā energoresursu cenu pieaugums, paredzot atbalstu apstrādes rūpniecības energoietilpīgiem komersantiem to darbības noturēšanai un turpināšanai.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5 darbdienu laikā pēc MK Noteikumu projekta pieņemšanas sagatavos un iesniegs ar Finanšu ministriju saskaņotu paziņojumu Eiropas Komisijai par Projektu, izmantojot Eiropas Komisijas pārziņā esošo elektroniskās paziņošanas sistēmu – SANI 2. Būvniecības valsts kontroles birojs atbalsta izmaksu veiks, kad Eiropas Komisija būs pieņēmusi lēmumu par šo noteikumu atbalsta saderību ar Eiropas Savienības iekšējo tirgu, pēc Eiropas Komisijas lēmuma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stājas spēkā ar dienu, kad stājas spēkā Eiropas Komisijas lēmums par atbalsta saderību ar Eiropas Savienības iekšējo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pēc tam, kad Eiropas Komisija pieņēmusi lēmumu par atbalsta saderību ar Eiropas Savienības iekšējo tirgu, nosūta attiecīgu paziņojumu publicēšanai oficiālajā izdevumā "Latvijas Vēstnesis".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militārā agresija pret Ukrainu, noteiktās sankcijas un pretpasākumi, ko veikusi, piemēram, Krievija, jau ir radījusi un radīs ekonomiskās sekas visā Eiropas Savienības (turpmāk – ES) iekšējā tirgū. Ietekme uz uzņēmumiem ES var būt dažāda – gan tieša, gan netieša. Tā var izpausties kā pieprasījuma samazināšanās, esošo līgumu un projektu darbības pārtraukšana, kam sekos apgrozījuma zudums, traucējumi piegādes ķēdēs, jo īpaši attiecībā uz izejvielām un pirmproduktiem vai citiem resursiem, kuri vairs nav pieejami vai nav saimnieciski iespējami.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militārā agresija pret Ukrainu ir izraisījusi ES importa no Ukrainas, kā arī ES eksporta uz Ukrainu piegādes ķēžu traucējumus attiecībā uz produktiem. Elektroenerģijas un dabasgāzes cenu pieaugums ES ir būtiski ietekmējis enerģijas tirgu. Iespējamība, ka Krievija īstenos militāro agresiju pret Ukrainu, ietekmēja enerģijas tirgu jau vairākas nedēļas pirms fiziskās agresijas sākšanās. Augstas enerģijas cenas ietekmē vairākas ekonomikas nozares, bet jo īpaši energoietilpīgajās nozarēs tādās kā apstrādes rūpniecība. Ietekme ir jūtama arī pasaules finanšu tirgos, jo īpaši saistībā ar bažām par likviditāti un preču tirdzniecības tirgus svārstībām. Esošajā ģeopolitiskajā situācijā, kad pastāvīgi pieaug energoresursu cenas komersantiem it īpaši pēc Covid-19 krīzes pārvarēšanas var nebūt uzkrāti pietiekami finanšu līdzekļi, lai pie energoietilpīgas saimnieciskās darbības nodrošinātu uzņēmumu dzīvotspēju un vienlaikus arī noturētu tā saimniecisko aktivitāti, tostarp novērstu riskus darbinieku atlaišanai.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militārās agresijas pret Ukrainu agresijas rezultātā ir būtiski ietekmēta energoapgādes drošība un būtiski pieaugušas izmaksas saistībā ar energoresursiem. Esošā situācija liecina, ka 2022.gada rudens daudziem uzņēmumiem var būt izšķiroša ne tikai energoizmaksu segšanai, bet arī lēmumiem par turpmāku 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Salīdzinoši lielās energoapgādes izmaksas vietējiem rūpniecības uzņēmumiem ir viens no būtiskiem faktoriem, kas bremzē straujāku vietējās rūpniecības attīstību, šīs cenas ir augstākas nekā citās valstīs Baltijas un Ziemeļvalstu reģionā. Rūpniecības uzņēmumiem ražošanas procesā enerģijas izmaksas veido daudz nozīmīgāku izdevumu pozīciju nekā citās nozarēs. Rūpniecības uzņēmumiem ražošanas procesā elektroenerģijas izmaksas veido daudz nozīmīgāku izdevumu pozīciju nekā citās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Apstrādes rūpniecības saražotā pievienotā vērtība ir 3,88 miljardu EUR apmērā jeb 13,5% no mūsu kopējās ekonomikas, tajā ir aktīvas 116 tūkstoši darbavietas jeb 13% no kopējā darba vietu skaita. Apstrādes rūpniecība tiešā veidā eksportē preces 6,7 miljardu EUR apmērā jeb 40% no kopējā preču eksporta. Apstrādes rūpniecības nozares lomu tautsaimniecībā nosaka ne vien tās īpatsvars iekšzemes kopproduktā - tā ir nozare, kas ir visciešāk saistīta ar citām tautsaimniecības nozarēm. Piemēram, pārtikas pārstrādes un kokapstrādes nozaru izaugsme rada pieprasījumu pēc tai nepieciešamajām izejvielām lauksaimniecības un mežsaimniecības nozarēm. Rūpniecības ražošanas procesos patērētie energoresursi rada pieprasījumu enerģētikā. Izejvielu un gatavās produkcijas plūsma starp izejvielu piegādātājiem, rūpniekiem un tirgotājiem ietekmē transporta un uzglabāšanas nozari. Tirdzniecības un pakalpojumu nozares nodrošina apstrādes rūpniecības preču pārdošanu vietējā vai ārējā tirgū. Jaunu produktu izstrāde un digitalizācija apstrādes rūpniecībā rada pieprasījumu IT industrijā un zinātnē.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šobrīd ir būtiski koncentrēt atbalstu ar mērķi, lai pārvarētu Krievijas militārās agresijas pret Ukrainu pretpasākumu radītās sekas un nodrošināt ražojošajiem komersantiem pagaidu risinājumu to darbības stabilizēšanai un noturēšanai, tostarp novērstu riskus darbinieku atlaišanai.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tiek paredzēts atbalsts granta veidā apstrādes rūpniecības energoietilpīgiem komersantiem. Tiek paredzēts, ka grantus Būvniecības valsts kontroles birojs sniedz saskaņā ar Komisijas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Atbalsta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2.panta otro daļu (grozījumi, kas veikti 2022.gada 30.augustā) uz atbalstu var pretendēt apstrādes rūpniecības energoietilpīgi komersanti, kurus ietekmējušas militārās agresijas sekas, kas izpaužas kā papildu izmaksas par energoresursiem krasa to cenu pieauguma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Grants energoresursu izmaksu pieauguma kompensēšanai būs pieejams energoietilpīgajiem komersantiem, kuru saimnieciskā pamatdarbība ir apstrādes rūpniecībā (atbilstoši NACE 2. redakcijas klasifikācijas kodam) (turpmāk - NACE 2. red. kods).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komersanti tiek definēti atbilstoši Komerclikuma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Energoietilpīgs komersants šo noteikumu izpratnē ir komersants, kura saimnieciskās darbības nodrošināšanai nepieciešami vairāk kā 3% no kopējām saimnieciskās darbības izdevumiem energoresursu izmaksu segšanai 2022.gadā. Saskaņā ar Likuma grozījumu, kas paredz noteikt atbalstu energoietilpīgajiem komersantiem, anotāciju ir secināts, ka: “Ņemot vērā to, ka esošajā ģeopolitiskajā situācijā strauji pieaug energoresursu cenas ir nepieciešams savlaicīgi paredzēt atbalsta instrumentus saimnieciskās darbības veicējiem, kuru energoizmaksas veido vismaz 10% no kopējām izmaksām (energoresursu izmaksas) un kuri uzskatāmi par energoietilpīgiem komersantiem, tādējādi ar cenu kompensēšanas mehānismu, ļaujot apstrādes rūpniecības komersantiem turpināt savu darbību un saglabāt pozīciju Latvijas un starptautiskā tirgū”. Minētais energoresursu īpatsvars ir vērtējams kā kritisks komersantu darbības noturēšanai un konkurētspējas priekšrocību nodrošināšanai. Saskaņā ar Ekonomikas ministrijas analītikas datiem, salīdzinot 2022.gadu pret 2021.gadu – elektrības cenas ir kāpušas 3 reizes, savukārt dabasgāzes cenas – gandrīz 5  reizes. Tādējādi MK Noteikumu projekts paredz, ka atbalstu var saņemt tādi apstrādes rūpniecības komersanti, kam 2021.gadā energoresursu izmaksu īpatsvars ir 3% pret komersanta kopējo apgrozījumu jeb saimnieciskās darbības izmaksām. Kopējo energoresursu izmaksu apmērs ir aplēsts, ņemot vērā pašreizējo (uz MK Noteikumu projekta izstrādes brīdi esošo) cenu dinamiku biržā.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saņēmējam jeb komersantam būs jāatbilst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saimniecisko pamatdarbību kādā no šo noteikumu pielikumā minētajām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energoresursu izmaksas sastāda vismaz 3% no kopējām komersanta saimnieciskās darbības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attiecībā uz energoizmaksu jēdzienu tiek izprasti visi komersanta izdevumi, kas saistīti ar visa veida energoresursu izmantošanu, t.sk., gan elektrības, gan gāzes izdevumi.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elektroenerģijas patēriņš komersanta vajadzībām 2021. gadā bija vismaz 500 megavatstundas (MWh) vai kopējais dabasgāzes patēriņš 2021.gadā bija vismaz 500 megavatstundas (MWh).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minētie sliekšņi praksē tiek interpretēti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komersanta patēriņš dabasgāzei ir 500 MWh vai vairāk un elektrībai ir 500 MWh vai vairāk, atbalstu aprēķina gan par gāzi, gan par elektrību, bet nevienā brīdī nepārsniedz 30 % no dabasgāzes vai elektroenerģijas attiecināmajām izmaksām un kopā atbalsts nepārsniedz 2 milj. euro vienam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komersanta patēriņš elektrībai ir 500 MWh vai vairāk un dabasgāzei 300 MWh = atbalstu aprēķina gan par dabasgāzes, gan par elektrības izmaksām, bet nevienā brīdī nepārsniedz 30 % no dabasgāzes vai elektroenerģijas attiecināmajām izmaksām un kopā atbalsts nepārsniedz 2 milj. euro vienam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komersanta patēriņš elektrībai ir 200 MWh un dabasgāzei ir 500 MWh vai vairāk = atbalsts par abām izmaksām, bet nevienā brīdī nepārsniedz 30 % no dabasgāzes vai elektroenerģijas attiecināmajām izmaksām un kopā atbalsts nepārsniedz 2 milj. euro vienam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komersanta patēriņš elektrībai ir 300 MWh un dabasgāzei 400 MWh = atbalsts netiek 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atbalstam kvalificējas apstrādes rūpniecības energoietilpīgi komersanti jeb tādi apstrādes rūpniecības komersanti, kuru energoresursu izmaksu kopējais patēriņš pārsniedz 3 % no kopējām komersanta saimnieciskās darbības izmaksām 2021. gadā, un attiecīgi kopējais elektroenerģijas patēriņš komersanta vajadzībām 2021. gadā bija vismaz 500 megavatstundas (MWh) vai kopējais dabasgāzes patēriņš 2021.gadā bija vismaz 500 megavatstundas (MWh). Vienlaikus, ņemot vērā Komisijas paziņojumā paredzēto atbalsta aprēķina metodi, tad ar MK noteikumu projektu tiek noteikts, ka energoresursu cenu kompensācija tiek sniegta kā atbalsts par diviem energoresursu sadārdzinājumiem, t.i., dabasgāzi un elektroenerģiju, piemērojot Komisijas paziņojumā ietvertā atbalsta aprēķina metodi.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Atbalsta 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noteikumiem tiek pārņemta Komisijas paziņojumā ietvertā atbalsta aprēķina metode: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Maksimālais kopējais granta atbalsts dabasgāzes un elektroenerģijas resursu cenu pieauguma kompensēšanai vienam komersantam nevienā brīdī nepārsniedz 30 % no dabasgāzes vai elektroenerģijas attiecināmajām izmaksām un kopā atbalsts nepārsniedz 2 miljonus euro vienam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Komersants var pieteikties vienam no energoresursu izmaksu kompensēšanas pasākumam vai abiem kopā, bet kopējais atbalsts nepārsniedz 2 miljonus euro vienam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Attiecināmās izmaksas nosaka kā starpību starp cenu par vienību konkrētā mēnesī, ko komersants kā galapatērētājs ir iepircis no ārējiem piegādātājiem laikposmā no 2022. gada 1. februāra līdz 2022. gada 31. decembrim, un divkāršotu (200 %) vidējo cenu par vienību, ko komersants maksājis atsauces periodā no 2021. gada 1. janvāra līdz 2021. gada 31. decembrim. No 2022. gada 1. septembra dabasgāzes un elektroenerģijas daudzums, ko izmanto, lai aprēķinātu attiecināmās izmaksas, nedrīkst pārsniegt 70 % no saņēmēja patēriņa tajā pašā periodā 2021.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 - p(ref) * 2) * q(t)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 apzīmē vienības cenu par dabasgāzi vai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patērēto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  atsauces periodu no 2021. gada 1. janvāra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 konkrēto mēnesi laikposmā no 2022. gada 1. februāra līdz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sniegšanā tiek vērtētas attiecināmās izmaksas, kas radušās atbalsta periodā 2022.gada 1.februāra līdz 2022.gada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ar ārējiem piegādātājiem ir saprotams, ka tie ir komersanti, kas kā ārpakalpojumu par noteiktu cenu piegādā nepieciešamos energoresursus (elektroenerģiju vai dabasgāzi), kas nepieciešami komersanta saimnieciskās darbības nodrošināšanai. T.i., ar ārējiem piegādātājiem netiek saprasta pašu komersantu saražotie energoresursi.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var būt arī kā avansa maksājumu, ja atbalsts ir piešķirts, pirms ir radušās attiecināmās izmaksas. Vienlaikus jāņem vērā, ka, lai saņemtu avansa maksājumu var tikt izmantotas attiecināmo izmaksu aplēses, taču atbalsta apmērs joprojām nevar pārsniegt 30% no izmaksu pieauguma. Lai nodrošinātu piešķirtā valsts atbalsta atbilstību Komisijas paziņojumā noteiktajiem nosacījumiem, Būvniecības valsts kontroles birojs uzraudzības periodā nodrošinās pārbaudi, lai pārliecinātos, ka atbalsts nepārsniedz maksimālās pieļaujamos atbalsta apmērus, pamatojoties uz komersanta faktiski veiktiem maksājumiem par dabasgāzi un elektroenerģiju. Situācijā, ja pieļaujamais atbalsta apmērs tiek pārsniegts jāatgūst visi atbalsta maksājumi, kuri pārsniedz minētos maksimālos apjomus, ne vēlāk kā sešus mēnešus pēc attiecināmā laikposma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Komercdarbības atbalsta kontroles likuma 9.panta trešo daļu, atbalsta sniedzējs uzrauga atbalsta programmas to ieviešanas laikā un pēc atbalsta programmu īstenošanas, nodrošinot komercdarbības atbalsta nosacījumu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projekta 19. punktu Būvniecības valsts kontroles birojs atbalsta uzraudzības periodā veic izlases veida pārbaudes 10% no kopējā atbalstu saņēmušo komersantu skaita. Ja Būvniecības valsts kontroles biroja rīcībā ir informācija par iespējamiem riskiem nelikumīga valsts atbalsta piešķiršanā, tas pārbauda šī komersanta atbilstību šajos noteikumos paredzētajām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likuma deleģējuma noteikto administrēšanu tiek saprastas arī MK noteikumos noteiktās normas par atbalsta uzraudzību, t.i. atbalsta administrēšana ietver sevī atbalsta uzraudzības jautājumus.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ietvaros ar uzraudzības periodu tiek saprasts 10 gadu periods, balstoties uz to, ka Būvniecības valsts kontroles birojs pieteikumus glabā 10 gadus no dienas, kad šo noteikumu ietvaros ir piešķirts pēdējais atbalsts, un informāciju pēc pieprasījuma ir jāiesniedz Eiropas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komersants sagatavo un līdz 2022. gada 1. novembrim iesniedz iesniegumu, lai pieteiktos atbalstam par noteiktu atbalsta mēnesi, noteiktiem atbalsta mēnešiem vai visiem mēnešiem atbalsta periodā kopā. Komersants pieteikumu iesniedz vienreiz, sakarā ar Komisijas paziņojuma īsto darbības termiņu t.i. līdz 2022. 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komersants piesakās uz avansa maksājumu atbalsta aprēķins tiek veikts uz komersanta aplēsēm vai pierādāmiem dokumentiem par sagaidāmo patēriņa prognozi.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uzraudzības periodā Būvniecības valsts kontroles birojs konstatē, ka komersantam avansa maksājumā ir izmaksāta lielāka atbalsta summa nekā faktiski pieļauj MK noteikumos noteiktie maksimālie apjomi, Būvniecības valsts kontroles birojs lūdz pārmaksāto starpību atgriezt labprātīgi. Situācijā, ja komersants labprātīgi neatgriež pārmaksāto avansa maksājumu, tad Būvniecības valsts kontroles birojs piemēro MK noteikumu normu, kas nosaka kā Būvniecības valsts kontroles birojs rīkojas pie valsts atbalsta prasību pārkāpuma, attiecīgi paredzot, ka komersantam ir pienākums atmaksāt valsts budžetā visu saņemto nelikumīgo valsts atbalstu kopā ar procentiem atbilstoši Komercdarbības atbalsta kontroles likuma IV vai V nodaļas nosacījumiem. Vienlaikus Būvniecības valsts kontroles biroja pienākums ir veikt uzraudzību arī par pārējiem pieteikumiem, atbilstoši tās iekšējai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atbalsta uzraudzību Valsts ieņēmumu dienests, ja nepieciešams, nodrošina Būvniecības valsts kontroles birojam šādu informāciju, tostarp norādot komersanta nosaukumu un reģistrācijas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*reģistrētos darbības nozaru NACE 2. red. kodus;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pārskatus;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ienākumu deklarāciju pielikumus D3 un D31.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ienākumu deklarācijas pielikumi D3 un D31 satur informāciju par fiziskās personas saimniecisko darbību, savukārt gada ienākumu deklarācija un citi tās pielikumi satur tādu aizsargājamu informāciju, kas nav saistīta ar fiziskās personas saimniecisko darbību un nav izsniedzama projekta uzraudzības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Sadales un pārvades sistēmu operatori atbalsta uzraudzības vajadzībām pēc Būvniecības valsts kontroles biroja pieprasījuma sniedz informāciju par komersantu elektroenerģijas un dabasgāzes patēriņu.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Atbalsta periods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energoietilpīgiem komersantiem ir pieejams par laikposmu no 2022. gada 1. februāra līdz 2022. gada 31. decembrim, kas ir atbilstoši Komisijas paziņojumā noteiktajam termiņam un ļauj kompensēt izmaksas, kas radušās no 2022.gada 1 februāra līdz 2022.gada 31.decembri. Atbalstam piesakās vienreiz, izvēloties atbalsta mēnešus, par kuriem kompensēt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periods – minētais termiņš ir norādīts dēļ Komisijas paziņojumu nosacījumiem, tai skaitā, termiņa dēļ. Atbalsts tiek sniegts kā vienreizējs maksājums, piesakoties atbalstam līdz 1.novembrim, un attiecīgi atbalsta apmērā (jeb kompensācijas attiecināmajās izmaksās) tiek attiecināti gāzes un elektroenerģijas rēķini, kas saņemti no 2022. gada 1. februāra līdz 2022. gada 31. decembrim. Līdzīga pieeja nodrošināta arī Covid-19 atbalsta sniegšanā (piemēram apgrozāmo līdzekļu grantos).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finansēšana tiek paredzēta no valsts budžeta finansējuma, kas pārdalīts no līdzekļiem neparedzētiem gadījumiem, ja Ministru kabinets ir pieņēmis attiecīgu lēmumu un Saeimas Budžeta un finanšu (nodokļu) komisija piecu darbdienu laikā no attiecīgās informācijas saņemšanas dienas ir to izskatījusi un nav pret to iebildusi. Atbalsta programmas finansējums ir 50 miljonu  euro jeb vidēji 200 tūkstoši euro katram komersantam. Ar programmai pieejamo finansējumu iespējams sniegt atbalstu aptuveni 400 komersantiem balstoties uz Būvniecības valsts kontroles biroja analītiķu aplēsēm. Vienlaikus jāņem vērā, ka tirgus situācija ir mainīga, ir vērojams cenu sadārdzinājums, līdz ar to atbalstīto komersantu skaits varētu mainīties.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Atbalsta pieteikšanās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par pieteikumu iesniegšanas uzsākšanu paziņo atsevišķi, publicējot informāciju savā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pieteiktos atbalstam komersants līdz 2022.gada 1.novembrim sagatavo un iesniedz iesniegumu Būvniecības valsts kontroles birojā, lai pieteiktos atbalstam par noteiktu atbalsta mēnesi, noteiktiem atbalsta mēnešiem vai visiem mēnešiem atbalsta periodā. Pieteikumu iesniegšana plānota provizoriski plānota no dienas, kad Eiropas Komisija būs pieņēmusi lēmumu par atbalsta saderību ar Eiropas Savienības iekšējo tirgu. Vienlaikus pastāv risks, ka MK Noteikumos ietvertā atbalsta programmas saskaņošana var ieilgt, līdz ar to, lai nodrošinātu laicīgu iesniegumu izvērtēšanu un attiecīgi lēmumu pieņemšanu un atbalsta izmaksāšanu, pēc Eiropas Komisijas lēmuma pieņemšanas par atbalsta saderību ar Eiropas Savienības iekšējo tirgu, līdz 2022.gada 31.decembrim, plānots, ka pieteikumu uzsākšana būs iespējama drīz pēc šo MK noteikumu projekta apstiprināšanas Ministru kabinetā un Būvniecības valsts kontroles biroja iekšējo procedūru atbalsta sniegšanai sakārtošanas. Par pieteikumu pieņemšanas datumu Būvniecības valsts kontroles birojs paziņos atsevišķi, publicējot informāciju savā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Komersants iesniegumā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komersantu, maksājuma kontu uz kuru pārskaitāms atbalsts,  kā arī  NACE 2. red. kodu (Eiropas Savienības vienoto saimnieciskās darbības veida klasifikatora jeb NACE 2.red. kodu) kurā komersants darbojas.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*nosaukums, tā reģistrācijas numurs,  elektroniskā pasta adrese, maksājuma konts, uz kuru *pārskaitāms atbalsts, un NACE 2.red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perioda mēnesis vai mēneši, par kuru tiek pieprasīts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pieprasītā summa un veiktais atbalsta apmēra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komersanta energoresursu izmaksām un kopējām saimnieciskās darbības izmaksām 2021.gadā;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komersanta kopējo elektroenerģijas patēriņu 2021. gadā megavatstundās (MWh) vai kopējo dabasgāzes patēriņu 2021.gadā megavatstundās (MWh);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cenu par vienību un patērēto dabasgāzes un elektroenerģijas daudzumu konkrētā atbalsta mēnesī, ko komersants maksājis attiecināmajā laikposmā;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par vidējo cenu par dabasgāzes un elektroenerģijas vienību, ko komersants maksājis atsauces periodā no 2021. gada 1. janvāra līdz 2021.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citu informāciju saskaņā ar šo noteikumu ietvertajām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pārliecinātos par informācijas atbilstību, tiks izmantota Valsts ieņēmumu dienesta publiskojamā datu bāze, tāpat uzraudzības nolūkā tiks izmantota informācija, ko uztur Sadales un pārvades sistēmu operatori vai Valsts ieņēmumu dienesta sniegto informāciju, ja nepieciešams uzraudzības posmā.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Komersants pie iesnieguma iesniedz arī apliecinājumus par 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*apliecinājums, ka komersants iepriekš nav saņēmis atbalstu, kā arī neplāno pieteikties citam atbalstam par vienām un tām pašām attiecināmajām izmaksām, izņemot  atbalstu, kas sniegts saskaņā ar normatīvajiem aktiem ierobežotas atbalsta summas veidā, lai mazinātu pret Ukrainu vērstās Krievijas militārās agresijas radītās sekas uz ekonomiku (ar to saprotot Komisijas paziņojuma 2.1. sadaļā "Ierobežotas atbalsta summas" minēto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komersants neatbilst nevienam no MK noteikumu 26.punkts noteiktajiem izslēgšanas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nosaka, ka komersantam ir jāiesniedz apliecinājums no zvērināta revidenta, ka komersanta energoresursu izmaksas par 2021. gadu sastāda noteiktu summu un tās ir vismaz 3% no kopējām komersanta saimnieciskās darbības izmaksām.</w:t>
      </w:r>
      <w:r w:rsidR="00000000" w:rsidRPr="00000000" w:rsidDel="00000000">
        <w:rPr>
          <w:b w:val="1"/>
          <w:rtl w:val="0"/>
        </w:rPr>
        <w:t xml:space="preserve"> </w:t>
      </w:r>
      <w:r w:rsidR="00000000" w:rsidRPr="00000000" w:rsidDel="00000000">
        <w:rPr>
          <w:rtl w:val="0"/>
        </w:rPr>
        <w:t xml:space="preserve">Noteiktā prasība nepieciešama, lai Būvniecības valsts kontroles birojs var pārliecināties sniegtās informācijas atbilstību MK noteikumu projekta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atbalsta sniegšanu, Būvniecības valsts kontroles birojs izstrādā iekšējo kārtību, kas skaidro šajos noteikumos noteiktās kārtības piemērošanu, metodiku, kā tiek vērtēta komersantu kvalifikācija atbalstam, piešķirts atbalsts un tiks veikta komersantu uzraudzība, lai nodrošinātu valsts finansējuma izlietošanu atbilstoši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pamatojoties uz komersanta iesniegumā norādīto informāciju, pieņem lēmumu un 5 darbdienu laikā no lēmuma pieņemšanas dienas izmaksā atbalstu, ieskaitot to iesniegumā norādītajā komersanta kontā. Būvniecības valsts kontroles birojs minēto lēmumu paziņo uz iesniegumā norādīto 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atbalstu piešķir ievērojot komersantu iesniegumu iesniegšanas secību.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atsaka atbalsta piešķiršanu, ja komersants neatbilst šajos noteikumos noteiktajām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paziņojuma 33.punktā noteikts, ka Atbalstu nepiešķir tādiem uzņēmumiem, kam piemēro ES pieņemtās sankcijas. Starptautisko un Latvijas Republikas nacionālo sankciju likumā (turpmāk - Sankciju likums) ir nostiprināts pienākums ievērot sankcijas visām fiziskajām un juridiskajām personām, līdz ar to pie atbalsta izsniegšanas Būvniecības valsts kontroles birojs vērtēs vai konkrētajam atbalsta saņēmējam nav piemērotas starptautiskās vai nacionālās sankcijas, kā arī to vai atbalsta saņēmēja patiesā labuma guvēji nav no Krievijas un Baltkrievijas.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komersants kuram grantu piešķir saskaņā ar šiem noteikumiem, vienlaikus darbojas gan vienā vai vairākās atbalstāmajās nozarēs, gan izslēgtajās nozarēs vai veic neatbalstāmas darbības saskaņā ar šiem MK Noteikumiem, tad saņemot grantu komersanta pienākums ir nodrošināt darbību vai izmaksu nodalīšanu.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veicējam atbalstu piešķir brīdī, kad Būvniecības valsts kontroles birojs pieņem lēmumu par granta atbalsta piešķiršanu.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pieņem lēmumu un izmaksā atbalstu tikai pēc tam, kad Eiropas Komisija pieņēmusi lēmumu par atbalsta saderību ar Eiropas Savienības iekšējo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Atbalsta apvienošana un citi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 noteikumu minētiem nosacījumiem atbalsts neattiecas uz gadījumu, ja tiek kumulēts ar atbalstu, kas piešķirts saskaņā ar normatīvajiem aktiem ierobežotas atbalsta summas veidā, lai mazinātu pret Ukrainu vērstās Krievijas militārās agresijas radītās sekas uz ekonomiku (ar to saprotot Komisijas paziņojuma 2.1. sadaļā "Ierobežotas atbalsta summas" minēto atbalstu). Nacionālajā regulējumā šāda veida atbalsts šobrīd nav izstrādāts, taču situācijā, ja atbilstoši Komisijas paziņojuma 2.1. sadaļai tiks izstrādāts atbalsts, tad preventīvi tiks nodrošināta kumulācijas normu ievērošana atbilstoši Komisijas paziņojuma regulējumam.</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kumulācijas gadījumā tiek ievērots nosacījums, ka netiek pārsniegta šo noteikumu 7.punktā noteiktā kopējā atbalsta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konstatēts šajos noteikumos noteikto valsts atbalsta prasību pārkāpums, komersantam ir pienākums atmaksāt valsts budžetā visu saņemto nelikumīgo valsts atbalstu kopā ar procentiem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nodrošina valsts atbalsta informācijas publicēšanu atbilstoši EK lēmumā noteiktajām prasībām, informācijas uzglabāšu 10 gadus no dienas, kad šo noteikumu ietvaros ir piešķirts pēdējais atbalsts un ziņošanu EK, kā arī atbalsta saņēmēju saraksta publicēšanu savā tīmekļvietnē, kurā norādīti visi saimnieciskās darbības veicēji, kuri šo noteikumu ietvaros ir saņēmuši granta atbalstu, un piešķirtā granta atbalsta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iekļautas atsauces uz Eiropas Komisijas lēmumu par atbalsta saderību ar iekšējo tirgu, jo nepieciešams nodrošināt standstill pienākumu, ka atbalsta programma nestājas spēkā ātrāk kā pieņemts Eiropas Komisijas lēmums par atbalsta saderību ar Eiropas Savienības iekšējo tirgu, lai, ja iespējams, izvairītos no jautājuma par nelikumīgu atbalsts sniegšanu. Kas ir atbilstoši arī LESD 108.panta 3.punktam: “Visi plāni piešķirt vai mainīt atbalstu ir jādara zināmi Komisijai laikus, lai Komisija varētu iesniegt savas piezīmes. Ja Komisija atzīst, ka, ievērojot 107. pantu, šādi plāni nav saderīgi ar iekšējo tirgu, tā nevilcinoties sāk 2. punktā paredzēto procedūru. Attiecīgā dalībvalsts nesāk īstenot pašas ierosinātos pasākumus, kamēr šī procedūra nav beigusies ar galīgo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Atbalsta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paziņojuma un attiecīgi atbalsta programmas darbības termiņš atbilstoši Eiropas Komisijas lēmumam par šo noteikumu iekļautā komercdarbības atbalsta saderību ar Eiropas Savienības iekšējo tirgu ir iespējams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Ierobežojumi atbalsta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energoresursu kompensāciju nevar pretendēt,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iesnieguma iesniegšanas dienā ir Valsts ieņēmumu dienesta administrēto nodokļu (nodevu) parādi, kas kopsummā pārsniedz 1000 euro, izņemot nodokļu maksājumus, kuriem ir piešķirts samaksas termiņa pagarinājums, noslēgta vienošanās par labprātīgu nodokļu samaksu vai noslēgts vienošanās līgums; (Par minēto nosacījumu Būvniecības valsts kontroles birojs pārliecinās no Valsts ieņēmumu dienesta publiskojamā datu bāzē pieejamās informācijas).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*komersantam lēmuma pieņemšanas brīdī ir pasludināts juridiskās personas maksātnespējas process, vai tā saimnieciskā darbība ir izbeigta, vai tas atbilst normatīvajos aktos noteiktajiem kritērijiem, lai tam pēc kreditoru pieprasījuma piemērotu maksātnespējas procedūru; (Par minēto nosacījumu Būvniecības valsts kontroles birojs pārliecinās no publiski pieejamām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komersantu attiecas līdzekļu atgūšanas rīkojums saskaņā ar iepriekšēju Eiropas Komisijas lēmumu, ar ko atbalsts tiek atzīts par nelikumīgu un nesaderīgu ar kopējo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netiek sniegts sekojošām nozarēm atbilstoši ministru kabineta 26.punktam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*NACE 2. red. koda grupa 46.34 "Dzērienu vairumtirdzniecība" un grupa 47.25 "Alkoholisko un citu dzērienu mazumtirdzniecība specializētajos veikalos", kā arī 11.01 "Spirtu destilēšana, rektificēšana un maisīšana", 11.02 "Vīnu ražošana no vīnogām", 11.03 "Sidra un citu augļu vīnu ražošana", 11.04 "Citu nedestilētu dzērienu ražošana no raudzētām izejvielām, 11.05 "Alus ražošana"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*NACE 2. red. koda 92. nodaļa "Azartspēles un derības";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*NACE 2. red. koda grupa 47.78 "Citur neklasificēta jaunu preču mazumtirdzniecība specializētajos veikalos";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*NACE 2. red. koda 12. nodaļas "Tabakas izstrādājumu ražošana" grupa 46.35 "Tabakas izstrādājumu vairumtirdzniecība" un grupa 47.26 "Tabakas izstrādājumu mazumtirdzniecība specializētajos veikalos";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*NACE 2. red. koda L sadaļas "Operācijas ar nekustamo īpašumu" grupa 68.1 "Sava nekustama īpašuma pirkšana un pārdošana" un grupa 68.31 "Starpniecība darbībā 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*tāda nekustamā īpašuma attīstīšanai, kas Nekustamā īpašuma valsts kadastra informācijas sistēmā reģistrējams kā dzīvojamā māja vai daudzdzīvokļu dzīvojamā māja;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*kredītiestādēm vai citām finanšu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*NACE 2. red. koda K sadaļa "Finanšu un apdrošināšanas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nav iekļautas šo noteikumu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kā papildus atbalsts finanšu instrumentiem, lai apstrādes rūpniecības energoietilpīgie komersanti pārvarētu ar Krievijas agresiju pret Ukrainu izraisītās sekas.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atbilstoši Komreclikuma ietvaram.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skar energoietilpīgus apstrādes rūpniecības komersantus.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apstrādes rūpniecībā esošajiem energoietilpīgajiem komersantiem, nodrošinātu šo komersantu dzīvotspēju un vienlaikus arī noturētu tā saimniecisko aktivitāti, tostarp novērstu riskus darbinieku atlaišanai. Projekta tiesiskais regulējums nerada tiešu ietekmi uz vidi, cilvēka veselību un nevalstiskajām organizācijām.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apstrādes rūpniecībā esošajiem energoietilpīgajiem komersantiem, nodrošinātu šo komersantu dzīvotspēju un vienlaikus arī noturētu tā saimniecisko aktivitāti, tostarp novērstu riskus darbinieku atlaišanai . Projekta tiesiskais regulējums nerada tiešu ietekmi uz vidi, cilvēka veselību un nevalstiskajām organizācijām.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mikro, mazajiem, vidējiem un lielajiem komersantiem, nodrošinot labvēlīgus nosacījumus konkurences paaugstināšanai un ilgtermiņa ekonomiskās efektivitātes pieaugumam. Projekta tiesiskais regulējums nerada tiešu ietekmi uz vidi, cilvēka veselību un nevalstiskajām organizācijām.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mikro, mazajiem, vidējiem un lielajiem komersantiem, nodrošinot labvēlīgus nosacījumus konkurences paaugstināšanai un ilgtermiņa ekonomiskās efektivitātes pieaugumam. Projekta tiesiskais regulējums nerada tiešu ietekmi uz vidi, cilvēka veselību un nevalstiskajām organizācijām.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apstrādes rūpniecībā esošajiem energoietilpīgajiem komersantiem, nodrošinātu šo komersantu dzīvotspēju un vienlaikus arī noturētu tā saimniecisko aktivitāti, tostarp novērstu riskus darbinieku atlaišanai . Projekta tiesiskais regulējums nerada tiešu ietekmi uz vidi, cilvēka veselību un nevalstiskajām organizācijām.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apstrādes rūpniecībā esošajiem energoietilpīgajiem komersantiem, nodrošinātu šo komersantu dzīvotspēju un vienlaikus arī noturētu tā saimniecisko aktivitāti, tostarp novērstu riskus darbinieku atlaišanai . Projekta tiesiskais regulējums nerada tiešu ietekmi uz vidi, cilvēka veselību un nevalstiskajām organizācijām.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projektā atbalsta programmas finansējums ir 50 milj EUR. jeb vidēji 125  tūkstoši EUR katram komersantam. Ar programmai pieejamo finansējumu iespējams sniegt atbalstu aptuveni 400 komersantiem balstoties uz Ekonomikas ministrijas analītiķu aplēsēm. Vienlaikus jāņem vērā, ka tirgus situācija ir mainīga, ir vērojams cenu sadārdzinājums, līdz ar to atbalstīto komersantu skaits varētu mainīties.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Administrēšanas atbalsts veidojas no deviņu darbinieku piemaksām, kas sastāda 30% (izdevumi kopā = 9 (darbinieki) * 2 500 (mēnešalga)* 30% = 6 750 euro vienā mēnesī. Izmaksas 2022.gada 4.mēnešos = 6 750 * 4 = 27 000 euro. Papildus vel aprēķināts darba devēja VSAOI, kas ir 27 000 * 23.59% *4 = 25 477 euro, kopā sastādot  - 25 477 + 27 000 = 52 477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Būvniecības valsts kontroles biroja pieredzi šāda veida atbalsta sniegšanā, lai operatīvi pēc noteikumu stāšanās spēkā spētu pieņemt lēmumu ir nepieciešams izstrādāt iekšējās procedūras, atbalsta iesnieguma formu, līdz ar to papildus finansējums būvniecības valsts kontroles birojam būs nepieciešams no septembra.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likuma “Grozījumi Pret Ukrainu vērstās Krievijas militārās agresijas dēļ piemēroto sankciju un pretpasākumu izraisīto ekonomisko seku pārvarēšanas atbalsta likumā” (22-TA-2495) pieņemšanas Ekonomikas ministrija normatīvajos aktos noteiktā kārtībā sagatavos un iesniegts izskatīšanai Ministru kabinetā rīkojuma projektu par līdzekļu piešķiršanu 2022. gadā no valsts budžeta programmas 02.00.00 "Līdzekļi neparedzētiem gadījumiem" ne vairāk kā 50 000 000 euro apmērā, lai Būvniecības valsts kontroles birojs nodrošinātu atbalsta sniegšanu. Finansējums tiks pieprasīts atbilstoši faktiski nepieciešamajam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administrētu atbalsta Būvniecības valsts kontroles birojam nepieciešams finansējums funkciju nodrošināšanai 52 447 euro apmērā, kas tiks nodrošināts no atbalsta programmas pieejamā finansējuma ietvaros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2022.gadā nodrošinās gan lēmumu pieņemšanu, gan atbalsta izmaksāšanu.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Pret Ukrainu vērstās Krievijas militārās agresijas dēļ piemēroto sankciju un pretpasākumu izraisīto ekonomisko seku pārvarēšanas atbalsta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nepieciešams ieviest atbalsta risinājumus apstrādes jomas energoietilpīgiem komersantiem, Saeima ir apstiprinājusi grozījumus likumā, kas stāsies spēka 2022. gada 14. septembrī, nosakot atbalsta pasākumu apstrādes rūpniecības energoietilpīgiem komersantiem, kas izpaužas kā papildus izmaksas, kas radušās sakarā ar krasu energoresursu cenu pieaugumu, kā arī šī atbalsta administrējošo iestādi un atbalsta pasākuma finansēšanas kārtību.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2022/C 131 I/01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2022.gada 24.marta paziņojums "Krīzes pagaidu regulējums valsts atbalsta pasākumiem, ar ko atbalsta ekonomiku pēc Krievijas agresijas pret Ukrainu" (turpmāk - Pagaidu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2022.gada 24.marta paziņojums "Krīzes pagaidu regulējums valsts atbalsta pasākumiem, ar ko atbalsta ekonomiku pēc Krievijas agresijas pret Ukrainu" (turpmāk - Pagaidu regulējums)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regulējums 52.punkts (e)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regulējums 52.punkts (f)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regulējums 52.punkts (h)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regulējums 52.punkts (i)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un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regulējums 55.punkts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regulējums 54.punkts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regulējums 56.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regulējums 52. punkts (a)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un  31.punkts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regulējums 52. punkts (b)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regulējums 52. punkts (d)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3.punkts un 5.punkts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regulējums 52. punkts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5 darbdienu laikā pēc MK Noteikumu projekta pieņemšanas sagatavos un iesniegs ar Finanšu ministriju saskaņotu paziņojumu Eiropas Komisijai par Projektu, izmantojot Eiropas Komisijas pārziņā esošo elektroniskās paziņošanas sistēmu – SANI 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iniciatīva par atbalsta risinājumu ir izdiskutēta Tautsaimniecības padomes š.g. 2augusta sēdē.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Būvniecības valsts kontroles birojs nodrošinās atbalsta administrēšanu.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22-TA-2496</w:t>
    </w:r>
    <w:r>
      <w:br/>
    </w:r>
    <w:r w:rsidR="00000000" w:rsidRPr="00000000" w:rsidDel="00000000">
      <w:rPr>
        <w:rtl w:val="0"/>
      </w:rPr>
      <w:t xml:space="preserve">Izdrukāts 29.07.2026. 21.58 - 5.0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22-TA-2496</w:t>
    </w:r>
    <w:r>
      <w:br/>
    </w:r>
    <w:r w:rsidR="00000000" w:rsidRPr="00000000" w:rsidDel="00000000">
      <w:rPr>
        <w:rtl w:val="0"/>
      </w:rPr>
      <w:t xml:space="preserve">Izdrukāts 29.07.2026. 21.58 - 5.0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anotācija_(ex_ante)_22-TA-2496.docx</dc:title>
</cp:coreProperties>
</file>

<file path=docProps/custom.xml><?xml version="1.0" encoding="utf-8"?>
<Properties xmlns="http://schemas.openxmlformats.org/officeDocument/2006/custom-properties" xmlns:vt="http://schemas.openxmlformats.org/officeDocument/2006/docPropsVTypes"/>
</file>