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24. novembra noteikumos Nr. 656 "Noteikumi par minimālās mēneša darba algas apmēru normālā darba laika ietvaros un minimālās stundas tarifa likmes aprēķināšanu""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novembra noteikumu Nr. 730 "Minimālās mēneša darba algas noteikšanas un pārskatīšanas kārtība" (turpmāk – MK noteikumi Nr. 730) 7.1.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ievērojot MK noteikumos Nr. 730 noteikto minimālās mēneša darba algas noteikšanas un pārskatīšanas kārtību, noteikt minimālās mēneša darba algas apmēru 2026. gadā 780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2015. gada 24. novembra noteikumi Nr. 656 "Noteikumi par minimālās mēneša darba algas apmēru normālā darba laika ietvaros un minimālās stundas tarifa likmes aprēķināšanu" (turpmāk – MK noteikumi Nr. 656) nosaka, ka minimālā mēneša darba alga normālā darba laika ietvaros ir 740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septembrī Ministru kabinetā tika izskatīts un atbalstīts informatīvais ziņojums "Par valsts budžeta likumprojektā iekļaujamiem prioritārajiem pasākumiem 2026., 2027. un 2028. gadam" (turpmāk – informatīvais ziņojums), kurā paredzēts arī minimālās mēneša darba algas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Labklājības ministrija ir izstrādājusi noteikumu projektu Grozījums Ministru kabineta 2015. gada 24. novembra noteikumos Nr. 656 "Noteikumi par minimālās mēneša darba algas apmēru normālā darba laika ietvaros un minimālās stundas tarifa likmes aprēķināšanu"" (turpmāk – noteikumu projekts), kurā noteikts, ka minimālā mēneša darba algas apmērs sākot ar 2026. gada 1. janvāri ir 780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Ministru kabineta 2024. gada 19. novembra noteikumu Nr. 730 “Minimālās mēneša darba algas noteikšanas un pārskatīšanas kārtība” 6. punktā noteikto, noteikumu projekts ir izstrādāts, paredzot, ka minimālās mēneša algas paaugstināšanas 2026. gadā līdz 780 euro fiskālā ietekme ir ņemta vērā Latvijas Fiskāli strukturālajā plānā 2025. – 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katru gadu izstrādā un publicē savā tīmekļa vietnē ziņojumu par minimālās darba algas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2020.-2024. gadā darba ņēmēju īpatsvars, kuri saņēma minimālo algu vai mazāk, bija robežās no 15,3% līdz 19,4% jeb aptuveni piektā daļa no visiem darba ņēmējiem, bet 2024.gadā minimālās algas saņēmēju īpatsvars ir bijis zemākais pēdējo piecu gadu laikā, samazinoties līdz 15,3%.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datiem 2024.gadā vidēji 117 895 darba ņēmēji jeb 15,3% saņēma minimālo algu vai mazāk, kas bija par 4,1 procentpunktu mazāk nekā trīs gadus iepriekš, kad minimālo algu vai mazāk saņēma 19,4%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Latvijā bija nodarbināti 816 545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Paaugstinot minimālo mēneša darba algu, pieaugs darba devēju izdevumi darbinieku darba algas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darbaspēka izmaksas pieaugs par tiem darbiniekiem (ne visiem), kuriem pašreiz ir noteikta minimālā mēneša darba alga normālā darba laika ietvaros (740 </w:t>
      </w:r>
      <w:r w:rsidR="00000000" w:rsidRPr="00000000" w:rsidDel="00000000">
        <w:rPr>
          <w:i w:val="1"/>
          <w:rtl w:val="0"/>
        </w:rPr>
        <w:t xml:space="preserve">euro</w:t>
      </w:r>
      <w:r w:rsidR="00000000" w:rsidRPr="00000000" w:rsidDel="00000000">
        <w:rPr>
          <w:rtl w:val="0"/>
        </w:rPr>
        <w:t xml:space="preserve">) vai zemāka, kā arī tiem, kuriem mēneša darba alga normālā darba laika ietvaros ir zemāka par noteikumu projektā noteikto minimālo mēneša darba algu normālā darba laika ietvaros (780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7. septembra noteikumu Nr. 827 “Noteikumi par valsts sociālās apdrošināšanas obligāto iemaksu veicēju reģistrāciju un ziņojumiem par valsts sociālās apdrošināšanas obligātajām iemaksām un iedzīvotāju ienākuma nodokli” (turpmāk – noteikumi Nr. 827) 21. punktu darba devējs katru mēnesi līdz 17. datumam iesniedz Valsts ieņēmumu dienestā darba devēja ziņojumu. Tātad minimālās mēneša darba algas apmēra izmaiņas nevar uzskatīt par darba devēja administratīvā sloga palielinājumu, jo informācija par darba ņēmēja darba ienākumiem, aprēķinātām valsts sociālās apdrošināšanas obligātām iemaksām (turpmāk – obligātās iemaksas) un iedzīvotāju ienākuma nodokli Valsts ieņēmumu dienestam iesniedzama katru mēnesi darba devēja ziņojuma ietvaros. Savukārt, pēc noteikumu par jaunās minimālās mēneša darba algas apmēra spēkā stāšanās, slēdzot darba līgumu ar jauno darba ņēmēju, darba devējs jauno darba ņēmēju reģistrēs Valsts ieņēmumu dienestā kā obligāto iemaksu veicēju, iesniedzot ziņas par darba ņēmējiem noteikumu Nr. 827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algas pieaugums tiešā veidā palielina mazo algu saņēmēju pirktspēju, pozitīvi ietekmējot iekšējo pieprasījumu, kas ir viens no balstiem ekonomikas izaugsmei. Tāpat tas veicina algu izlīdzināšanos starp Baltijas valstīm, kā arī algu tuvināšanos pārējo ES valstu vidējam līmenim, kas ir viens no instrumentiem emigrācijas plūsmas samazināšanai. Vienlaikus algu pieaugums var kļūt par nopietnu stimulu jaunu konkurētspējas priekšrocību (kas nav saistītas ar zemām darbaspēka izmaksām) radīšanai, kā arī veicināt inovāciju un investīcijas jaunajās tehnoloģijās, lai samazinātu izmaksas un palielinātu ražošanas resursu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mēneša darba alga ir paredzēta zemāk kvalificēto darba ņēmēju darba atalgošanai, atspoguļojot šāda darba produktivitāti, līdz ar to būtiska ietekme uz nozaru darba spēka konkurētspēju darba tirgū ilgtermiņā nav sagaidāma. Tomēr atsevišķas nozares, kurās ir augsts  to darba ņēmēju īpatsvars, kas saņem minimālo mēneša darba algu vai algu, kas apmēra ziņā ir tuva minimālās mēneša darba algas apmēram, var tikt pakļautas pieaugošu ražošanas izmaksu spiedienam, līdz ar to nepieciešamībai modernizēt ražošanas tehnoloģiskos procesus, paaugstinot ražošanas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labvēlīga ietekme uz konkurenci, mazinot ēnu ekonomiku nozarēs, kuras ir vairāk pakļautas ēnu ekonomikas riskiem un kurās ir augstāks minimālās mēneša darba algas saņēmēju īpatsvars.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kopumā ilgtermiņā būs labvēlīga ietekme uz mazajiem un vidējiem uzņēmumiem, veicinot darba samaksas līmeņa pieaugumu, ieguldījumus produktivitātē un tehnoloģiskajos procesos. Tomēr, ņemot vērā būtiskās reģionālās atšķirības ekonomiskās aktivitātes un ienākumu ziņā, noteikumu projektam var būt īstermiņā nelabvēlīga ietekme uz tiem mazajiem un vidējiem uzņēmumiem reģionos ar zemāku ekonomiskās aktivitātes un ienākumu līmeni, kuros ir būtisks to darba ņēmēju īpatsvars, kas saņem minimālo mēneša darba algu vai darba samaksu apmērā ziņā tuvu minimālajai mēneša darba algai.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labvēlīga ietekme uz konkurenci, mazinot ēnu ekonomiku tautsaimniecības nozarēs, kuras ir vairāk pakļautas ēnu ekonomikas riskiem un kurās ir augstāks minimālās mēneša darba algas saņēmēju īpatsvars.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minimālās algas pieaugums tiešā veidā palielina mazo algu saņēmēju pirktspēju, pozitīvi ietekmējot iekšējo pieprasījumu, kas ir viens no balstiem ekonomikas izaugsmei. Otrkārt, tas veicinās algu izlīdzināšanos starp Baltijas valstīm, kā arī algu tuvināšanos pārējo ES valstu vidējam līmenim, kas ir viens no instrumentiem emigrācijas plūsmas samazināšanai. Treškārt, algu pieaugums var kļūt par nopietnu stimulu jaunu konkurētspējas priekšrocību (kas nav saistītas ar zemām darbaspēka izmaksām) radīšanai, kā arī veicināt inovāciju un investīcijas jaunajās tehnoloģijās, lai samazinātu izmaksas un palielinātu ražošanas resursu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19. septembra sēdes protokollēmuma Nr. 38 1. § 5.un 8. punktam, kā arī šī sēdes protokollēmuma 1. § 2. punktam, ietekme no minimālās darba algas paaugstināšanas 2026. gadā no 740 </w:t>
      </w:r>
      <w:r w:rsidR="00000000" w:rsidRPr="00000000" w:rsidDel="00000000">
        <w:rPr>
          <w:i w:val="1"/>
          <w:rtl w:val="0"/>
        </w:rPr>
        <w:t xml:space="preserve">euro</w:t>
      </w:r>
      <w:r w:rsidR="00000000" w:rsidRPr="00000000" w:rsidDel="00000000">
        <w:rPr>
          <w:rtl w:val="0"/>
        </w:rPr>
        <w:t xml:space="preserve">  uz 780 </w:t>
      </w:r>
      <w:r w:rsidR="00000000" w:rsidRPr="00000000" w:rsidDel="00000000">
        <w:rPr>
          <w:i w:val="1"/>
          <w:rtl w:val="0"/>
        </w:rPr>
        <w:t xml:space="preserve">euro</w:t>
      </w:r>
      <w:r w:rsidR="00000000" w:rsidRPr="00000000" w:rsidDel="00000000">
        <w:rPr>
          <w:rtl w:val="0"/>
        </w:rPr>
        <w:t xml:space="preserve"> ir jau ņemta vērā Finanšu ministrijas sagatavotajās makroekonomiskajās prognozēs,  nodokļu ieņēmumu prognozēs, kā arī valsts budžeta izdevumos un apstiprinātas likumā “Par valsts budžetu 2025.gadam un budžeta ietvaru 2025., 2026. un 2027.gadam”, kā arī iekļautas likumprojektā "Par valsts budžetu 2026.gadam un budžeta ietvaru 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izmaiņas Ministru kabineta 2015. gada 24. novembra noteikumos Nr. 656 "Noteikumi par minimālās mēneša darba algas apmēru normāla darba laika ietvaros un minimālās stundas tarifa likmes aprēķināšanas kārtību" saistībā ar minimālās darba algas paaugstināšanu no 740 </w:t>
      </w:r>
      <w:r w:rsidR="00000000" w:rsidRPr="00000000" w:rsidDel="00000000">
        <w:rPr>
          <w:i w:val="1"/>
          <w:rtl w:val="0"/>
        </w:rPr>
        <w:t xml:space="preserve">euro</w:t>
      </w:r>
      <w:r w:rsidR="00000000" w:rsidRPr="00000000" w:rsidDel="00000000">
        <w:rPr>
          <w:rtl w:val="0"/>
        </w:rPr>
        <w:t xml:space="preserve"> uz 780 </w:t>
      </w:r>
      <w:r w:rsidR="00000000" w:rsidRPr="00000000" w:rsidDel="00000000">
        <w:rPr>
          <w:i w:val="1"/>
          <w:rtl w:val="0"/>
        </w:rPr>
        <w:t xml:space="preserve">euro</w:t>
      </w:r>
      <w:r w:rsidR="00000000" w:rsidRPr="00000000" w:rsidDel="00000000">
        <w:rPr>
          <w:rtl w:val="0"/>
        </w:rPr>
        <w:t xml:space="preserve"> neietekmēs prognozētos nodokļu ieņēmumus un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minimālās mēneša darba algas paaugstināšanas ietekmi uz pašvaldību izdevumiem, LM rīcībā nav datu par pašvaldību iestādēs strādājošajiem darba ņēmējiem, kuriem noteiktais mēneša darba algas apmērs normālā darba laika ietvaros ir mazāks par 780 </w:t>
      </w:r>
      <w:r w:rsidR="00000000" w:rsidRPr="00000000" w:rsidDel="00000000">
        <w:rPr>
          <w:i w:val="1"/>
          <w:rtl w:val="0"/>
        </w:rPr>
        <w:t xml:space="preserve">euro</w:t>
      </w:r>
      <w:r w:rsidR="00000000" w:rsidRPr="00000000" w:rsidDel="00000000">
        <w:rPr>
          <w:rtl w:val="0"/>
        </w:rPr>
        <w:t xml:space="preserve">, līdz ar to nav iespējams veikt korektu provizorisko aprēķinu par papildu pašvaldību budžeta izdevumiem 2026. gadā un turpmāk ik gadu saistībā ar minimālās mēneša darba algas palielināšanu.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Ministru kabinetā saskaņā ar Ministru kabineta 2024. gada 19. novembra noteikumu Nr. 730 "Minimālās mēneša darba algas noteikšanas un pārskatīšanas kārtība" 7.2.apakšpunktu atbildīgās ministrijas triju mēnešu laikā izstrādā tiesību aktu projektus par grozījumiem saistībā ar mēnešalgas apmēra (skalas) izmaiņām un noteiktā kārtībā iesniedz tos izskatīšanai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32022L2041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2022/2041 (2022. gada 19. oktobris) par adekvātām minimālajām algām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darba organizācijas 1970. gada 22. jūnija konvencija Nr. 131 "Par minimālās algas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2022/2041 (2022. gada 19. oktobris) par adekvātām minimālajām algām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Starptautiskās darba organizācijas 1970. gada 22. jūnija konvencija Nr. 131 "Par minimālās algas noteikšanu”.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ratificējusi Starptautiskās darba organizācijas, par kuras biedri kļuva 1921.gadā (darbību tajā atjaunojot 1991.gadā), 1970.gada konvenciju Nr. 131 „Par minimālās algas noteikšanu”, kuras 1.pants paredz, ka dalībvalsts pienākums ir izveidot minimālās algas sistēmu, kas attiecas uz visiem darba algas saņēmējiem, savukārt 3.pants paredz, ka, nosakot minimālās algas līmeni, ir jāņem vērā darbinieku un viņu ģimeņu vajadzības, ievērojot vispārējo algu līmeni valstī, iztikšanai nepieciešamo minimumu, sociālās drošības pabalstus un citu sociālo grupu dzīves līmeni, kā arī ekonomiskos faktorus, tajā skaitā – ekonomikas attīstības rādītājus, darba ražīguma līmeni, kā arī vēlmi nodrošināt augstu nodarbinātības līmeni.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Ekonomikas ministrija, Finanšu ministrija, Tieslietu ministrija,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https://tapportals.mk.gov.lv/public_participation/e293fa7f-0df0-4c14-82e8-82fa64786c4f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valstī noteiktās minimālās mēneša darba algas apmēra paaugstināšanu tika skatīts Nacionālās trīspusējās sadarbības padomes (turpmāk – NTSP) Sociālās drošības apakšpadomes sēdē 2025. gada 16. aprīlī un NTSP sēdē 2025. gada 19. septembrī.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ievērošanu darba tiesisko attiecību jomā uzraudzīs Valsts darba inspekcija, bet Valsts ieņēmumu dienests uzraudzīs noteikumu projekta normu ievērošanu, izskatot darba devēju ikmēneša ziņojumus par obligātajām iemaksām, kuros tai skaitā norādami dati par darba ņēmēju darba ienākumiem, iedzīvotāju ienākuma nodokli  un aprēķināto uzņēmējdarbības riska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Valsts darba inspekcijas un Valsts ieņēmumu dienesta funkcijas neietekmēs, jo minētās iestādes šīs funkcijas veic jau pašreiz atbilstoši citiem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25-TA-2320</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25-TA-2320</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anotācija_(ex_ante)_25-TA-2320.docx</dc:title>
</cp:coreProperties>
</file>

<file path=docProps/custom.xml><?xml version="1.0" encoding="utf-8"?>
<Properties xmlns="http://schemas.openxmlformats.org/officeDocument/2006/custom-properties" xmlns:vt="http://schemas.openxmlformats.org/officeDocument/2006/docPropsVTypes"/>
</file>