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pašvaldību finanšu izlīdzināšanas fonda ieņēmumiem un to sadales kārtību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pašvaldību finanšu izlīdzināšanas fonda ieņēmumiem un to sadales kārtību 2022. gadā" (turpmāk – noteikumu projekts) izstrādāts, pamatojoties uz Pašvaldību finanšu izlīdzināšanas likuma 9. panta otro daļu, kas nosaka, ka Ministru kabinets divu nedēļu laikā pēc gadskārtējā valsts budžeta likuma izsludināšanas izdod noteikumus par pašvaldību finanšu izlīdzināšanas fonda (turpmāk – izlīdzināšanas fonds) ieņēmumiem un to sadales kārtību attiecīgajā budžeta gadā, kā arī uz likuma "Par valsts budžetu 2022. gadam" 4. panta 2. punktu, kurā noteikts, ka Ministru kabinets nosaka kārtību, kādā pašvaldībām piešķir budžeta dotāciju.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pašvaldību finanšu izlīdzināšanas kārtību, t.i., kārtību, kādā pašvaldības veic iemaksas pašvaldību finanšu izlīdzināšanas fondā (turpmāk – izlīdzināšanas fonds), kārtību, kādā no izlīdzināšanas fonda tiek izmaksāta dotācija, iemaksu un dotācijas apmēru, pamatojoties uz iedzīvotāju skaitu, iedzīvotāju ienākuma nodokļa prognozi, nekustamā īpašuma nodokļa prognozi un aprēķināto izlīdzināmo vienību skaitu katrā pašvaldībā, kā arī kārtību, kādā pašvaldībām piešķir budžeta dotāciju.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finanšu izlīdzināšanas likuma 9. panta otro daļu šādi noteikumi jāizstrādā katru gadu, nosakot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2022. gadā tiktu pārskaitīta valsts budžeta dotācija atbilstoši likumā "Par valsts budžetu 2022. gadam" noteiktajam finansējuma apmēram, nepieciešams noteikt izlīdzināšanas fonda ieņēmumus un to sadales kārtību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pašvaldību finanšu izlīdzināšanas aprēķinu pašvaldību finanšu izlīdzināšanas fonda ieņēmumi plānoti 212,42 milj. </w:t>
      </w:r>
      <w:r w:rsidR="00000000" w:rsidRPr="00000000" w:rsidDel="00000000">
        <w:rPr>
          <w:i w:val="1"/>
          <w:rtl w:val="0"/>
        </w:rPr>
        <w:t xml:space="preserve">euro</w:t>
      </w:r>
      <w:r w:rsidR="00000000" w:rsidRPr="00000000" w:rsidDel="00000000">
        <w:rPr>
          <w:rtl w:val="0"/>
        </w:rPr>
        <w:t xml:space="preserve"> apmērā. Tos veido valsts budžeta dotācija 81,09 milj. </w:t>
      </w:r>
      <w:r w:rsidR="00000000" w:rsidRPr="00000000" w:rsidDel="00000000">
        <w:rPr>
          <w:i w:val="1"/>
          <w:rtl w:val="0"/>
        </w:rPr>
        <w:t xml:space="preserve">euro</w:t>
      </w:r>
      <w:r w:rsidR="00000000" w:rsidRPr="00000000" w:rsidDel="00000000">
        <w:rPr>
          <w:rtl w:val="0"/>
        </w:rPr>
        <w:t xml:space="preserve"> apmērā un pašvaldību iemaksas 131,33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dotācija izlīdzināšanas fondā ieskaitāma likuma "Par valsts budžetu 2022. gadam" 4. panta 1. punktā noteiktajā apmērā saskaņā ar Finanšu ministrijas apstiprinātu finansēšanas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iemaksas izlīdzināšanas fondā pārskaita atbilstoši iedzīvotāju ienākuma nodokļa sadalei, t.i., kad no iedzīvotāju ienākuma nodokļa ieņēmumu budžeta sadales konta Valsts kase veic nodokļa sadali, attiecīgi tiek arī ieturētas iemaksas izlīdzināšanas fondā no šī konta atbilstoši nodokļa ieņēmumu izpildei šo noteikumu 1. pielikumā norādīto iemaksu procentu apmērā. Savukārt pašvaldībām dotāciju no izlīdzināšanas fonda Valsts kase izmaksā atbilstoši šo noteikumu 2. pielikumā minētajam procentuālajam sadalījumam. Saskaņā ar Pašvaldību finanšu izlīdzināšanas likuma 10. panta trešo daļu Valsts kase dotāciju no izlīdzināšanas fonda pašvaldībām izmaksā divas reizes mēnesī – ne vēlāk kā līdz attiecīgā mēneša 15. un 25.datumam.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2022. gadā tiktu pārskaitīta likuma "Par valsts budžetu 2022. gadam" 4. panta 2. punktā noteiktā budžeta dotācija 105,50 milj. </w:t>
      </w:r>
      <w:r w:rsidR="00000000" w:rsidRPr="00000000" w:rsidDel="00000000">
        <w:rPr>
          <w:i w:val="1"/>
          <w:rtl w:val="0"/>
        </w:rPr>
        <w:t xml:space="preserve">euro</w:t>
      </w:r>
      <w:r w:rsidR="00000000" w:rsidRPr="00000000" w:rsidDel="00000000">
        <w:rPr>
          <w:rtl w:val="0"/>
        </w:rPr>
        <w:t xml:space="preserve"> apmērā, nepieciešams noteikt kārtību, kādā šī dotācija tiek piešķirta.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 gadam" 4. panta 2. punktā noteikta budžeta dotācija pašvaldībām 105,50 milj. </w:t>
      </w:r>
      <w:r w:rsidR="00000000" w:rsidRPr="00000000" w:rsidDel="00000000">
        <w:rPr>
          <w:i w:val="1"/>
          <w:rtl w:val="0"/>
        </w:rPr>
        <w:t xml:space="preserve">euro</w:t>
      </w:r>
      <w:r w:rsidR="00000000" w:rsidRPr="00000000" w:rsidDel="00000000">
        <w:rPr>
          <w:rtl w:val="0"/>
        </w:rPr>
        <w:t xml:space="preserve"> apmērā, kura tiek integrēta pašvaldību finanšu izlīdzināšanas sistēmā. Budžeta dotācija izlīdzināšanas fondā ieskaitāma likuma "Par valsts budžetu 2022. gadam" 4. panta 2. punktā noteiktajā apmērā saskaņā ar Finanšu ministrijas apstiprinātu finansēšanas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dotāciju sadalījumā pa pašvaldībām aprēķina pēc iedzīvotāju ienākuma nodokļa sadales principiem, kura tiek iekļauta vērtēto ieņēmumu prognozē. Budžeta dotāciju pašvaldībām piešķir saskaņā ar šo noteikumu 4. pielikumu. Noteikumu projekts paredz, ka Valsts kase reizi mēnesī līdz attiecīgā mēneša 20. datumam nodrošina budžeta dotācijas 1/12 daļas (janvārī – novembrī summa noapļota līdz pilniem </w:t>
      </w:r>
      <w:r w:rsidR="00000000" w:rsidRPr="00000000" w:rsidDel="00000000">
        <w:rPr>
          <w:i w:val="1"/>
          <w:rtl w:val="0"/>
        </w:rPr>
        <w:t xml:space="preserve">euro</w:t>
      </w:r>
      <w:r w:rsidR="00000000" w:rsidRPr="00000000" w:rsidDel="00000000">
        <w:rPr>
          <w:rtl w:val="0"/>
        </w:rPr>
        <w:t xml:space="preserve">, bet decembrī – starpība starp gada budžeta dotācijas summu un janvārī – novembrī pārskaitīto summu kopā) apmērā no šo noteikumu 4. pielikumā norādītā finansējuma pārskaitīšanu uz attiecīgo pašvaldību norādītajiem kontiem, uz kuriem Valsts kase pārskaita iedzīvotāju ienākuma nodokļa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noteikumu projektu publicējot Tiesību aktu projektu publiskajā portālā, kā arī sabiedrības pārstāvji varēja līdzdarboties projekta izstrādē, rakstveidā sniedzot viedokļus par projektu, kas 2021. gada 21.oktobrī publicēts Finanšu ministrijas tīmekļvietnē sadaļā “Sabiedrības līdzdalība” – “Tiesību aktu projekti” – “Pašvaldību finanšu uzraudzības politika”.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21-TA-1399</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21-TA-1399</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anotācija_(ex_ante)_21-TA-1399.docx</dc:title>
</cp:coreProperties>
</file>

<file path=docProps/custom.xml><?xml version="1.0" encoding="utf-8"?>
<Properties xmlns="http://schemas.openxmlformats.org/officeDocument/2006/custom-properties" xmlns:vt="http://schemas.openxmlformats.org/officeDocument/2006/docPropsVTypes"/>
</file>