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1. Tiesību akta projekta izstrādes nepieciešamība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Anotācijas (ex-ante) nosaukums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Tiesību akta projekta "Par valsts kustamās mantas nodošanu bez atlīdzības Moldovas Republikai" sākotnējās ietekmes (ex-ante) novērtējuma ziņojums (anotācija)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1.1. Pamatojums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Izstrādes pamatojums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Ministrijas / iestādes iniciatīva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2006. gada 25. jūlija noteikumu Nr. 618 “Kārtība, kādā valsts kustamo mantu nodod bez atlīdzības ārvalstu valdību un starpvalstu organizāciju īpašumā” 2. punkts.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1.2. Mērķis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Mērķa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Ministru kabineta rīkojuma projekta “Par valsts kustamās mantas nodošanu bez atlīdzības Moldovas Republikai” (turpmāk - rīkojuma projekts) mērķis ir noteikt Moldovas Republikas Robežpolicijas Ģenerālinspekcijai nododamo valsts kustamo mantu, tās apjomu un bilances vērtību.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Spēkā stāšanās termiņš</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Vispārējā kārtība</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1.3. Pašreizējā situācija, 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Pašreizējā situācija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Nepieciešamība stiprināt sadarbības iestāžu darbības kapacitāti.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un risinājumi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Problēmas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 2024. gada 31. maijā ar Starptautisko migrācijas politikas attīstības centru parakstīja līgumu Nr. ICMPD/2024/MPF-461-001 (turpmāk – Līgums) par projekta "Moldovas Republikas Robežpolicijas Ģenerālinspekcjas kapacitātes stiprināšana “zaļās” un “zilās” robežas kontroles jomā (LatMoldova)" (turpmāk - Projekts) īstenošanu un finansēšanu.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Projekta mērķa sasniegšanai ir plānota virkne aktivitāšu, tostarp divu Valsts robežsardzes kopš 2007. gada rīcībā esošu BALTIC 95 tipa patruļkuteru nodošana Moldovas Republikas Robežpolicijas Ģenerālinspekcjai, tādējādi stiprinot tās kapacitāti efektīvās "zilās" robežas uzraudzībai.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Projekta īstenošanu un realizētu Līguma nosacījumus, Valsts robežsardzei jānodrošina patruļkuteru sagatavošana, nogādāšana uz Moldovas Republiku un nodošana Moldovas Republikas Robežpolicijas Ģenerālinspekcjai.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Risinājuma 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Lai nodrošinātu Projekta īstenošanu un realizētu Līguma nosacījumus, Valsts robežsardze paredzējusi divu tās rīcībā esošu BALTIC 95 tipa patruļkuteru - ar komplektāciju un papildu aprīkojumu, kas norādīts šīs anotācijas pielikumā - nodošanu Moldovas Republikas Robežpolicijas Ģenerālinspekcjai. Nodošanai paredzētās valsts kustamās mantas kopējā bilances vērtība 8 996,64 </w:t>
      </w:r>
      <w:r w:rsidR="00000000" w:rsidRPr="00000000" w:rsidDel="00000000">
        <w:rPr>
          <w:i w:val="1"/>
          <w:rtl w:val="0"/>
        </w:rPr>
        <w:t xml:space="preserve">euro</w:t>
      </w:r>
      <w:r w:rsidR="00000000" w:rsidRPr="00000000" w:rsidDel="00000000">
        <w:rPr>
          <w:rtl w:val="0"/>
        </w:rPr>
        <w:t xml:space="preserve">. Kuteru tehniskais stāvoklis - apmierinošs, to komplektācija un papildus aprīkojums - darba kārtībā.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resursi nododamās valsts kustamās mantas iegādei (atjaunošanai) un transportēšanai nebūs nepieciešami, jo ar nododamās valsts kustamās mantas sagatavošanu un transportēšanu saistītie izdevumi tiks segti no Projekta finanšu līdzekļiem.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Saskaņā ar Ministru kabineta 2006. gada 25. jūlija noteikumu Nr. 618 “Kārtība, kādā valsts kustamo mantu nodod bez atlīdzības ārvalstu valdību un starpvalstu organizāciju īpašumā” 3. punktu, Valsts robežsardze bez atlīdzības nodos anotācijas ​​​pielikumā minēto valsts kustamo mantu Moldovas Republikas Robežpolicijas Ģenerālinspekcjai, slēdzot rakstveida līgumu.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izvērtēti alternatīvie risinājumi?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ir izvērtēts prasību un izmaksu samērīgums pret ieguvumiem?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1.4. Izvērtējumi/pētījumi, kas pamato TA nepieciešamību</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1.5. Pēcpārbaudes (ex-post) izvērtējums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tiks veikts?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1.6.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2. Tiesību akta projekta ietekmējamās sabiedrības grupas, ietekme uz tautsaimniecības attīstību un administratīvo slogu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3. Tiesību akta projekta ietekme uz valsts budžetu un pašvaldību budžetiem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Papildu finanšu resursi Iekšlietu ministrijai (Valsts robežsardzei) rīkojuma projektā minētās nododamās valsts kustamās mantas iegādei (atjaunošanai) un transportēšanai nebūs nepieciešami, jo ar nododamās valsts kustamās mantas sagatavošanu un transportēšanu saistītie izdevumi tiks segti no Projekta finanšu līdzekļiem.</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4. Tiesību akta projekta ietekme uz spēkā esošo tiesību normu sistēmu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4.2. 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5. Tiesību akta projekta atbilstība Latvijas Republikas starptautiskajām saistībām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5.3.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Apraksts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6. Projekta izstrādē iesaistītās institūcijas un sabiedrības līdzdalības process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Sabiedrības līdzdalība uz šo tiesību akta projektu neattiecas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Skaidrojums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Atbilstoši Ministru kabineta 2024. gada 15. oktobra noteikumu Nr. 639 "Sabiedrības līdzdalības kārtība attīstības plānošanas procesā" 4. punktam sabiedrības līdzdalības kārtība ir piemērojama to tiesību aktu projektu izstrādē, kuri skar sabiedrībai nozīmīgas iniciatīvas un procesus, it īpaši reformu izstrādes un īstenošanas procesu un publiskā finansējuma plānošanu. Ņemot vērā to, ka rīkojuma  projekts neatbilst minētajiem kritērijiem, sabiedrības līdzdalības kārtība netiek piemērota. Rīkojuma projekts un tā anotācija būs publiski pieejami Ministru kabineta tīmekļvietnes sadaļā "Tiesību aktu projekti".</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6.4.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7. Tiesību akta projekta izpildes nodrošināšana un tās ietekme uz institūcijām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Jā</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7.1. Projekta izpildē iesaistītās institūcijas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Institūcijas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robežsardze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7.2. Administratīvo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7.3. Atbilstības izmaksu monetārs novērtējums</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7.4. Projekta izpildes ietekme uz pārvaldes funkcijām un institucionālo struktūru</w:t>
      </w:r>
    </w:p>
    <w:tbl>
      <w:tblPr>
        <w:tblStyle w:val="DefaultTable"/>
        <w:bidiVisual w:val="0"/>
        <w:tblW w:w="9642.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371"/>
        <w:gridCol w:w="900"/>
        <w:gridCol w:w="4371"/>
        <w:tblGridChange w:id="0">
          <w:tblGrid>
            <w:gridCol w:w="4371"/>
            <w:gridCol w:w="900"/>
            <w:gridCol w:w="4371"/>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Ietekme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Jā/Nē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b w:val="1"/>
                <w:rtl w:val="0"/>
              </w:rPr>
              <w:t xml:space="preserve">Skaidrojums</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1. Tiks veidota jauna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2. Tiks likvidēta institūcija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3. Tiks veikta esošās institūcijas reorganizācija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4. Institūcijas funkcijas un uzdevumi tiks mainīti (paplašināti vai sašaurināti)</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5. Tiks veikta iekšējo institūcijas procesu efektivizācija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6. Tiks veikta iekšējo institūcijas procesu digitalizācija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7. Tiks veikta iekšējo institūcijas procesu optimizācija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8. Cita informācija</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sz w:val="24"/>
                <w:rtl w:val="0"/>
              </w:rPr>
              <w:t xml:space="preserve">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z w:val="24"/>
                <w:rtl w:val="0"/>
              </w:rPr>
              <w:t xml:space="preserve">-</w:t>
            </w:r>
          </w:p>
        </w:tc>
      </w:tr>
    </w:tbl>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7.5.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p w:rsidP="00000000" w:rsidRDefault="00000000" w:rsidR="00000000" w:rsidRPr="00000000" w:rsidDel="00000000">
      <w:pPr>
        <w:contextualSpacing w:val="0"/>
        <w:spacing w:before="180" w:beforeAutospacing="0"/>
        <w:spacing w:lineRule="auto" w:line="240"/>
        <w:pBdr/>
      </w:pPr>
      <w:r w:rsidR="00000000" w:rsidRPr="00000000" w:rsidDel="00000000">
        <w:rPr>
          <w:rtl w:val="0"/>
        </w:rPr>
        <w:t xml:space="preserve"/>
      </w:r>
      <w:r w:rsidR="00000000" w:rsidRPr="00000000" w:rsidDel="00000000">
        <w:rPr>
          <w:sz w:val="32"/>
          <w:b w:val="1"/>
          <w:rtl w:val="0"/>
        </w:rPr>
        <w:t xml:space="preserve">8. Horizontālās ietekmes</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 Projekta tiesiskā regulējuma ietekme</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 uz publisku pakalpojumu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8.1.2. uz valsts un pašvaldību informācijas un komunikācijas tehnoloģiju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8.1.3. uz informācijas sabiedrības politikas īstenošanu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8.1.4. uz Nacionālā attīstības plāna rādītājiem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8.1.5. uz teritoriju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8.1.6. uz vidi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8.1.7. uz klimatneitralitāti</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8.1.8. uz iedzīvotāju sociālo situāciju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8.1.9. uz personu ar invaliditāti vienlīdzīgām iespējām un tiesībām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8.1.10. uz dzimumu līdztiesību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8.1.11. uz veselību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8.1.12. uz cilvēktiesībām, demokrātiskām vērtībām un pilsoniskās sabiedrības attīstību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8.1.13. uz datu aizsardzību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8.1.14. uz diasporu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8.1.15. uz profesiju reglamentāciju</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8.1.16. uz bērna labākajām interesēm</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Vai projekts skar šo jomu?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Nē</w:t>
      </w:r>
    </w:p>
    <w:p w:rsidP="00000000" w:rsidRDefault="00000000" w:rsidR="00000000" w:rsidRPr="00000000" w:rsidDel="00000000">
      <w:pPr>
        <w:contextualSpacing w:val="0"/>
        <w:spacing w:before="270" w:beforeAutospacing="0"/>
        <w:spacing w:after="180" w:afterAutospacing="0"/>
        <w:spacing w:lineRule="auto" w:line="240"/>
        <w:pBdr/>
      </w:pPr>
      <w:r w:rsidR="00000000" w:rsidRPr="00000000" w:rsidDel="00000000">
        <w:rPr>
          <w:rtl w:val="0"/>
        </w:rPr>
        <w:t xml:space="preserve"/>
      </w:r>
      <w:r w:rsidR="00000000" w:rsidRPr="00000000" w:rsidDel="00000000">
        <w:rPr>
          <w:sz w:val="30"/>
          <w:b w:val="1"/>
          <w:rtl w:val="0"/>
        </w:rPr>
        <w:t xml:space="preserve">8.2. Cita informācija</w:t>
      </w:r>
    </w:p>
    <w:p w:rsidP="00000000" w:rsidRDefault="00000000" w:rsidR="00000000" w:rsidRPr="00000000" w:rsidDel="00000000">
      <w:pPr>
        <w:contextualSpacing w:val="0"/>
        <w:spacing w:before="90" w:beforeAutospacing="0"/>
        <w:spacing w:after="90" w:afterAutospacing="0"/>
        <w:spacing w:lineRule="auto" w:line="240"/>
        <w:pBdr/>
      </w:pPr>
      <w:r w:rsidR="00000000" w:rsidRPr="00000000" w:rsidDel="00000000">
        <w:rPr>
          <w:rtl w:val="0"/>
        </w:rPr>
        <w:t xml:space="preserve"/>
      </w:r>
      <w:r w:rsidR="00000000" w:rsidRPr="00000000" w:rsidDel="00000000">
        <w:rPr>
          <w:b w:val="1"/>
          <w:rtl w:val="0"/>
        </w:rPr>
        <w:t xml:space="preserve">Cita informācija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25-TA-43</w:t>
    </w:r>
    <w:r>
      <w:br/>
    </w:r>
    <w:r w:rsidR="00000000" w:rsidRPr="00000000" w:rsidDel="00000000">
      <w:rPr>
        <w:rtl w:val="0"/>
      </w:rPr>
      <w:t xml:space="preserve">Izdrukāts 29.07.2026. 21.41 - 1.0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Anotācija (ex-ante) 25-TA-43</w:t>
    </w:r>
    <w:r>
      <w:br/>
    </w:r>
    <w:r w:rsidR="00000000" w:rsidRPr="00000000" w:rsidDel="00000000">
      <w:rPr>
        <w:rtl w:val="0"/>
      </w:rPr>
      <w:t xml:space="preserve">Izdrukāts 29.07.2026. 21.41 - 1.0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anotācija_(ex_ante)_25-TA-43.docx</dc:title>
</cp:coreProperties>
</file>

<file path=docProps/custom.xml><?xml version="1.0" encoding="utf-8"?>
<Properties xmlns="http://schemas.openxmlformats.org/officeDocument/2006/custom-properties" xmlns:vt="http://schemas.openxmlformats.org/officeDocument/2006/docPropsVTypes"/>
</file>