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ceļu satiksmes uzraudzības tehnisko līdzekļu, kas paredzēti pārkāpumu fiksēšanai, neapturot transportlīdzekli, uzstādīšanu uz ceļiem un ar tiem fiksētās informācijas paziņošanu adresātam"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1.janvārī spēkā stāsies grozījumi Ceļu satiksmes likumā, kas noteiks,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Administratīvās atbildības likuma 162. panta pirmajā daļā minētajai personai nekavējoties elektroniski nosūtāma informācija (ja adresāta dati elektroniskai saziņai ir zināmi) par fiksēto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esošo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izdošanas pamats tiek papildināts, kā arī grozāmo normu apjoms pārsniedz pusi no spēkā esošo noteikumu normu apjoma un, pamatojoties uz Ministru kabineta 2009.gada 3.februāra noteikumu Nr.108 “Normatīvo aktu projektu sagatavošanas noteikumi” 140 punktu, ir nepieciešams atkārtoti izdot attiecīgos Ministru kabineta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kārtību, kādā, ja ar tehniskajiem līdzekļiem, neapturot transportlīdzekli, tiek fiksēta tāda transportlīdzekļa izmantošana ceļu satiksmē, kuram noteiktajā termiņā nav veikta valsts tehniskā apskate vai par kuru nav veikta tā īpašnieka civiltiesiskās atbildības obligātā apdrošināšana, transportlīdzekļu un to vadītāju valsts reģistrā automātiskā datu apstrādes režīmā tiek sagatavots informatīvais paziņojums par fiksēto gadījumu (iespējamo pārkāpumu) un paziņojama nosūtīšanu attiecīgajam adresātam.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2024.gada 28.maijā spēkā stājās grozījumi Ceļu satiksmes likumā, ar kuriem 43.</w:t>
      </w:r>
      <w:r w:rsidR="00000000" w:rsidRPr="00000000" w:rsidDel="00000000">
        <w:rPr>
          <w:vertAlign w:val="superscript"/>
          <w:rtl w:val="0"/>
        </w:rPr>
        <w:t xml:space="preserve">7</w:t>
      </w:r>
      <w:r w:rsidR="00000000" w:rsidRPr="00000000" w:rsidDel="00000000">
        <w:rPr>
          <w:rtl w:val="0"/>
        </w:rPr>
        <w:t xml:space="preserve"> pants tiek papildināts ar 1.</w:t>
      </w:r>
      <w:r w:rsidR="00000000" w:rsidRPr="00000000" w:rsidDel="00000000">
        <w:rPr>
          <w:vertAlign w:val="superscript"/>
          <w:rtl w:val="0"/>
        </w:rPr>
        <w:t xml:space="preserve">1</w:t>
      </w:r>
      <w:r w:rsidR="00000000" w:rsidRPr="00000000" w:rsidDel="00000000">
        <w:rPr>
          <w:rtl w:val="0"/>
        </w:rPr>
        <w:t xml:space="preserve"> daļu, kas nosaka -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Administratīvās atbildības likuma 162. panta pirmajā daļā minētajai personai nekavējoties elektroniski nosūtāma informācija (ja adresāta dati elektroniskai saziņai ir zināmi) par fiksēto gadījumu. Kārtību, kādā informācija paziņojama Administratīvās atbildības likuma 162. panta pirmajā daļā minētajai personai,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Ceļu satiksmes likumā ir paplašināts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tvērums.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grozījumus Ceļu satiksmes likumā,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izdošanas pamats ir papildināts, kā arī pašos noteikumus iekļaujama jauna sadaļa, līdz ar to, ir nepieciešams atkārtoti izdot attiecīgos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izpildīts Ceļu satiksmes likumā noteiktais deleģējums Ministru kabinetam noteikt kārtību, kādā informācija par fiksēto pārkāpumu, kas fiksēts ar tehniskajiem līdzekļiem, neapturot transportlīdzekli, paziņojama Administratīvās atbildības likuma 162. panta pirmajā daļā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arī atzīt par spēku zaudējušiem Ministru kabineta 2022. gada 12. aprīļa noteikumus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informatīvo paziņojumu sūtīšana tiks iekļauta deleģēšanas līgumā, kas saskaņā ar Ceļu satiksmes likuma 43</w:t>
      </w:r>
      <w:r w:rsidR="00000000" w:rsidRPr="00000000" w:rsidDel="00000000">
        <w:rPr>
          <w:vertAlign w:val="superscript"/>
          <w:rtl w:val="0"/>
        </w:rPr>
        <w:t xml:space="preserve">7</w:t>
      </w:r>
      <w:r w:rsidR="00000000" w:rsidRPr="00000000" w:rsidDel="00000000">
        <w:rPr>
          <w:rtl w:val="0"/>
        </w:rPr>
        <w:t xml:space="preserve">.panta otro daļu tiek slēgts starp Valsts policiju un VAS “Ceļu satiksmes drošības direkcija”, paredzot paziņojumu sūtīšanas izmaksas segt no Valsts policijai valsts budžetā piešķirtajiem līdzekļiem saskaņā ar Ministru kabineta 2021. gada 2. novembra rīkojumu Nr. 775 “Par ceļu satiksmes pārkāpumu fiksēšanas tehnisko līdzekļu darbības nodrošināšanu”.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policija,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nodrošinātā Transportlīdzekļu un to vadītāju valsts reģistra informācijas pieejamības tehnoloģiskie risinājumi, veicina iestāžu komunikācijas tehnoloģiju attīstību un atvieglo tām noteikto funkciju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24-TA-2467</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24-TA-2467</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anotācija_(ex_ante)_24-TA-2467.docx</dc:title>
</cp:coreProperties>
</file>

<file path=docProps/custom.xml><?xml version="1.0" encoding="utf-8"?>
<Properties xmlns="http://schemas.openxmlformats.org/officeDocument/2006/custom-properties" xmlns:vt="http://schemas.openxmlformats.org/officeDocument/2006/docPropsVTypes"/>
</file>