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1.janvārī spēkā stājās grozījumi Ceļu satiksmes likumā, kur noteikts, ja pārkāpums — tāda transportlīdzekļa izmantošana ceļu satiksmē, kuram noteiktajā termiņā nav veikta valsts tehniskā apskate vai par kuru nav veikta tā īpašnieka civiltiesiskās atbildības obligātā apdrošināšana, — fiksēts ar tehnisku līdzekli, neapturot transportlīdzekli, policija Administratīvās atbildības likuma 162. panta pirmajā daļā minētajai personai nekavējoties elektroniski nosūta informāciju (ja adresāta dati elektroniskai saziņai ir zināmi) par fiksēto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2026. gada 1. janvāri stāsies spēkā noteikumi, ka uz vidējā braukšanas ātruma kontroles sistēmām neatteiksies prasības, kas ir izvirzītas valsts metroloģiskajai kontrolei pakļautiem mērīšanas 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kārtību, kādā, ja ar tehniskajiem līdzekļiem, neapturot transportlīdzekli, tiek fiksēta tehniskās apskates vai OCTA neesamība un tiek sagatavots paziņojums par fiksēto gadījumu (iespējamo pārkāpumu) un paziņojama nosūtīšanu attiecīgajam adresātam.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tehnisko līdzekļu uzstādīšanas prasības uz ceļiem, noteikta informācija, kas jānorāda uz tehniskā līdzekļa korpusa, noteiktas ekspluatācijas prasības un informēšanas kārtība ceļu lietotājiem par tehnisko līdzekļu atrašanās vietām.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Ministru kabineta 2022. gada 12. aprīļa noteikumi Nr.224 “Prasības un kārtība tehnisko līdzekļu uzstādīšanai uz ceļiem un prasības informācijas nosūtīšanai un saņemšanai no tehniskajiem līdzekļiem apstrādei transportlīdzekļu un to vadītāju valsts reģistrā”. 2025.gada 1.janvārī spēkā stājās grozījumi Ceļu satiksmes likumā, ar kuriem 43.</w:t>
      </w:r>
      <w:r w:rsidR="00000000" w:rsidRPr="00000000" w:rsidDel="00000000">
        <w:rPr>
          <w:vertAlign w:val="superscript"/>
          <w:rtl w:val="0"/>
        </w:rPr>
        <w:t xml:space="preserve">7</w:t>
      </w:r>
      <w:r w:rsidR="00000000" w:rsidRPr="00000000" w:rsidDel="00000000">
        <w:rPr>
          <w:rtl w:val="0"/>
        </w:rPr>
        <w:t xml:space="preserve"> pants tiek papildināts ar 1.</w:t>
      </w:r>
      <w:r w:rsidR="00000000" w:rsidRPr="00000000" w:rsidDel="00000000">
        <w:rPr>
          <w:vertAlign w:val="superscript"/>
          <w:rtl w:val="0"/>
        </w:rPr>
        <w:t xml:space="preserve">1</w:t>
      </w:r>
      <w:r w:rsidR="00000000" w:rsidRPr="00000000" w:rsidDel="00000000">
        <w:rPr>
          <w:rtl w:val="0"/>
        </w:rPr>
        <w:t xml:space="preserve"> daļu, kas nosaka, ja pārkāpums - tāda transportlīdzekļa izmantošana ceļu satiksmē, kuram noteiktajā termiņā nav veikta valsts tehniskā apskate vai par kuru nav veikta tā īpašnieka civiltiesiskās atbildības obligātā apdrošināšana, - fiksēts ar tehnisku līdzekli, neapturot transportlīdzekli, policija Administratīvās atbildības likuma 162. panta pirmajā daļā minētajai personai nekavējoties elektroniski nosūta informāciju (ja adresāta dati elektroniskai saziņai ir zināmi) par fiksēto gadījumu. Kārtību, kādā informācija paziņojama Administratīvās atbildības likuma 162. panta pirmajā daļā minētajai personai,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Ceļu satiksmes likumā ir precizēts Ministru kabineta 2022. gada 12. aprīļa noteikumu Nr. 224 “Prasības un kārtība tehnisko līdzekļu uzstādīšanai uz ceļiem un prasības informācijas nosūtīšanai un saņemšanai no tehniskajiem līdzekļiem apstrādei transportlīdzekļu un to vadītāju valsts reģistrā” tvērums.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izdarītos grozījumus Ceļu satiksmes likumā, Ministru kabineta 2022. gada 12. aprīļa noteikumu Nr.224 “Prasības un kārtība tehnisko līdzekļu uzstādīšanai uz ceļiem un prasības informācijas nosūtīšanai un saņemšanai no tehniskajiem līdzekļiem apstrādei transportlīdzekļu un to vadītāju valsts reģistrā” izdošanas pamats ir papildināms, kā arī noteikumos iekļaujama jauna sadaļa.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izpildīts Ceļu satiksmes likumā noteiktais deleģējums Ministru kabinetam noteikt kārtību, kādā informācija par iespējamo pārkāpumu, kas fiksēts ar tehniskajiem līdzekļiem, neapturot transportlīdzekli, paziņojama Administratīvās atbildības likuma 162. panta pirmajā daļā minētajai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attīstīts vienots punkts personas saziņai ar valsti, kas ir e-adrese un tā kā CSDD neapkopo transportlīdzekļu īpašnieku un vadītāju tālruņu numurus tādā formātā, kas ļautu paziņojumus nosūtīt īsziņā, šobrīd veidot no citām institūcijām atšķirīgu informācijas izplatīšanas sistēmu un apstrādāt personas datus nebūtu lietderīgi, līdz ar to atbilstoši likumdevēja mērķim – paziņojumu adresātam elektroniski nosūtīt nekavējoties, kas nozīmē, ka personai ar šo paziņojumu jāiepazīstas pēc iespējas ātrāk, Noteikumu projekts paredz paziņojumu nosūtīt uz oficiālo elektronisko adresi un CSDD e-pakalpojumos norādīto e-pasta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noteikts, ka paziņojums par iespējamu pārkāpuma, kas fiksēts ar tehniskajiem līdzekļiem, izdarīšanu personai tiek nosūtīts nekavējoties, tomēr, ņemot vērā, ka informācijas saņemšanas laiks CSDD informatīvajās sistēmās no dažādiem tehniskajiem līdzekļiem atšķiras, atšķirīgs ir arī paziņojuma nosūtīšanas laiks katrā konkrētā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normatīvais regulējums līdz 2025.gada 31.decembrim nosaka vidējā braukšanas ātruma kontroles sistēmām pirmreizējo verificēšanu un atkārtotu verificēšanu ar periodiskumu reizi gadā. 2025. gada 18. februāra Ministru kabinetā sēdē tika apstiprināti divi normatīvo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“Grozījumi Ministru kabineta 2024. gada 14. maija noteikumos Nr. 289 “Noteikumi par valsts metroloģiskajai kontrolei pakļauto mērīšanas līdzekļu sarakstu”” (24-TA-1416);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“Grozījums Ministru kabineta 2006. gada 5. decembra noteikumos Nr. 981 “Noteikumi par mērīšanas līdzekļu atkārtoto verificēšanu, verificēšanas sertifikātiem un verificēšanas atzīmēm”” (24-TA-2607).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kabinetā 2025. gada 18. februāra sēdē pieņemtie grozījumi paredz, ka vidējā braukšanas ātruma kontroles sistēmas ir iekļautas valsts metroloģiskajai kontrolei pakļauto mērīšanas līdzekļu sarakstā (kas paredz arī to pirmreizējo un atkārtoto verificēšanu) līdz 2025. gada 31. decembrim. Savukārt pēc 2025. gada 31. decembra vidējā kontroles ātruma mērīšanas sistēmas vairs nebūs minētajā sarakstā un uz tām neatteiksies prasības, kas ir izvirzītas valsts metroloģiskajai kontrolei pakļautiem mērīšanas līdzekļiem. Veicot izmaiņas verificēšanas nosacījumos ir jāveic noteikumu izstrāde, kas attiecas uz vidējā braukšanas ātruma kontroles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noteiktas prasības par obligāto informāciju, kas jānorāda uz tehniskā līdzekļa korpusa, prasībām par vidējā braukšanas ātruma kontroles sistēmām, to precizitāti, darbības temperatūras diapazonu un  aizsardzību pret nesankcionētu iejaukšanos programmatūrā.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w:t>
      </w:r>
      <w:r w:rsidR="00000000" w:rsidRPr="00000000" w:rsidDel="00000000">
        <w:rPr>
          <w:vertAlign w:val="superscript"/>
          <w:rtl w:val="0"/>
        </w:rPr>
        <w:t xml:space="preserve">4</w:t>
      </w:r>
      <w:r w:rsidR="00000000" w:rsidRPr="00000000" w:rsidDel="00000000">
        <w:rPr>
          <w:rtl w:val="0"/>
        </w:rPr>
        <w:t xml:space="preserve"> punktā noteikts, ka programmatūras identifikāciju nodrošina pats tehniskais līdzeklis, un pierādījumiem par iejaukšanos aizsargātajā programmatūrā jābūt pieejamiem vismaz 12 mēnešus pēc iejaukšanās. Šis termiņš ir atbilstošs, ņemot vērā Administratīvās atbildības likuma 118.panta pirmo daļu, kas noteic, ka administratīvā pārkāpuma procesu var uzsākt ne vēlāk kā viena gada laikā no pārkāpuma izdarīšanas dienas, bet, ja pārkāpums ir ilgstošs, — no pārkāpuma pārtraukšanas dienas. Turklāt Ministru kabineta 2017. gada 28. novembra noteikumu Nr. 704 “Prasības transportlīdzekļu braukšanas ātruma mērierīcēm” 20. punkts jau no 2018.gada un arī šobrīd paredz, ka uz visām ātruma mērierīcēm (līdz šim arī uz vidējā ātruma kontroles ierīcēm) ir attiecināta prasība, ka pierādījumiem par iejaukšanos aizsargātajā programmatūrā jābūt pieejamiem vismaz 12 mēnešus pēc iejaukšanās. Līdz ar to, lai termiņš būtu vienāds visiem tehniskajiem līdzekļiem, kas tiek izmantoti pārkāpumu fiksēšanai, neapturot transportlīdzekli, arī Noteikumu 5.</w:t>
      </w:r>
      <w:r w:rsidR="00000000" w:rsidRPr="00000000" w:rsidDel="00000000">
        <w:rPr>
          <w:vertAlign w:val="superscript"/>
          <w:rtl w:val="0"/>
        </w:rPr>
        <w:t xml:space="preserve">4</w:t>
      </w:r>
      <w:r w:rsidR="00000000" w:rsidRPr="00000000" w:rsidDel="00000000">
        <w:rPr>
          <w:rtl w:val="0"/>
        </w:rPr>
        <w:t xml:space="preserve"> punktā noteikts 12 mēnešu termiņš.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Pārkrautu kravas transportlīdzekļu pārvietošanās pa valsts autoceļiem rada bojājumus ceļu infrastruktūrai un apdraudējumu satiksmes drošībai. Transportlīdzekļi, kuru masa vai asu slodze pārsniedz normatīvos noteikto, pārslogo ceļu konstrukcijas, kā rezultātā tiek paātrināta seguma deformācija, samazināts ceļa kalpošanas laiks un palielinās uzturēšanas un atjaunošanas izmaksas. Tas tieši ietekmē valsts budžeta izdevumus ceļu uzturēšanai. Pārkrauti transportlīdzekļi ietekmē satiksmes drošību – bojātais ceļu segums palielina avāriju risku, īpaši nelabvēlīgos laikapstākļos. Tāpat šāda prakse kropļo konkurenci autopārvadājumu tirgū, jo uzņēmumi, kuri ievēro normatīvajos aktos noteiktās prasības, nonāk mazāk izdevīgā pozīcijā salīdzinājumā ar tiem, kuri apzināti pārkrauj transportlīdzekļus un izvairās no attiecīgo nodevu un ekspluatācijas izdevumu segšanas.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ceļu tīkla aizsardzību un uzlabotu kontroli, nepieciešams ieviest un attīstīt kontroles mehānismus ar tehnisko līdzekļu palīdzību – tostarp transportlīdzekļu masas un ass slodzes svēršanas iekārtām.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paplašināts ar informācijas veidu par pārkāpumu, ja fiksēta ass svara un transportlīdzekļa vai tā sastāva kopējā masas pārsniegums, kas ļauj svēršanas gaitā sistēmu (tehnisko līdzekli) izmantot pārslogotu transportlīdzekļu identificēšanai un pārkāpumu fiksēšanai bez transportlīdzekļa apstādināšanas. Attiecīgi Noteikumu 2.punkts tiek papildināts ar atsauci uz Autopārvadājumu likumu, kurā noteiktas sankcijas par kravu pārvadāšanas noteikumu pārkāpšanu. Būtiski norādīt, ka atsauces iekļaušana uz Autopārvadājumu likumu nepaplašina deleģējumu Ministru kabinetam. Autopārvadājumu likuma 54.pantā kravu pārvadāšanas noteikumu pārkāpumi ir tiešā veidā saistīti ar ceļu satiksmes drošību - tie tiek konstatēti, ja tiek pārkāpts Ministru kabineta 2015.gada 2.jūnija noteikumu Nr. 279 "Ceļu satiksmes noteikumi" (kas ir izdoti uz Ceļu satiksmes likumā noteiktā deleģējuma pamata) 2.pielikums "Pieļaujamie transportlīdzekļu (transportlīdzekļu sastāvu) gabarīti (ar kravu vai bez tās), faktiskā masa un ass slodze". Šobrīd spēkā esošā Ministru kabineta 2022. gada 12. aprīļa noteikumu Nr.224 “Prasības un kārtība tehnisko līdzekļu uzstādīšanai uz ceļiem un prasības informācijas nosūtīšanai un saņemšanai no tehniskajiem līdzekļiem apstrādei transportlīdzekļu un to vadītāju valsts reģistrā” 6.1.apakšpunkta redakcija jau paredz atsauci arī uz Autoceļu lietošanas nodevas likumu, kurā ietvertie pārkāpumi arī tiek fiksēti ar tehniskajiem līdzekļiem, neapturot transportlīdzekli.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vidējā ātruma kontroles posma verificēšana šobrīd izmaksā 1802 EUR gadā (ar PVN). Tā kā pašlaik darbībā ir 16 posmi, tad visu šo posmu verificēšana katru gadu izmaksā 28 832 EUR.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tehnisko līdzekli tiks fiksēts, ka transportlīdzeklim, kas piedalās satiksmē, nav veikta valsts tehniskā apskate vai par kuru nav veikta tā īpašnieka civiltiesiskās atbildības obligātā apdrošināšana, transportlīdzekļa īpašniekam (turētājam), tiks nosūtīts informatīvais paziņojums par fiksēto gadījumu (iespējamo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saistīti ar 2025.gada 18.februāra grozījumiem MK 2024. gada 14. maija noteikumos Nr. 289 "Noteikumi par valsts metroloģiskajai kontrolei pakļauto mērīšanas līdzekļu sarakstu" (24-TA-1416), kas noteica atteikšanos no vidējā ātruma kontroles sistēmu pirmreizējās un atkārtotās verificēšanas, tādējādi mazinot administratīvo slogu lietotājiem, un kuru anotācijā ir aprēķināts administratīvā sloga samazinājums (https://tapportals.mk.gov.lv/annotation/c0f3dce3-79cb-475e-be0e-1929f57cb7b7).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tehnisko līdzekli tiks fiksēts, ka transportlīdzeklim, kas piedalās satiksmē, nav veikta valsts tehniskā apskate vai par kuru nav veikta tā īpašnieka civiltiesiskās atbildības obligātā apdrošināšana, transportlīdzekļa īpašniekam (turētājam), tiks nosūtīts informatīvais paziņojums par fiksēto gadījumu (iespējamo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saistīti ar 2025.gada 18.februāra grozījumiem MK 2024. gada 14. maija noteikumos Nr. 289 "Noteikumi par valsts metroloģiskajai kontrolei pakļauto mērīšanas līdzekļu sarakstu" (24-TA-1416), kas noteica atteikšanos no vidējā ātruma kontroles sistēmu pirmreizējās un atkārtotās verificēšanas, tādējādi mazinot administratīvo slogu lietotājiem, un kuru anotācijā ir aprēķināts administratīvā sloga samazinājums (https://tapportals.mk.gov.lv/annotation/c0f3dce3-79cb-475e-be0e-1929f57cb7b7).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 informatīvo paziņojumu sūtīšana tiks iekļauta deleģēšanas līgumā, kas saskaņā ar Ceļu satiksmes likuma 43</w:t>
      </w:r>
      <w:r w:rsidR="00000000" w:rsidRPr="00000000" w:rsidDel="00000000">
        <w:rPr>
          <w:vertAlign w:val="superscript"/>
          <w:rtl w:val="0"/>
        </w:rPr>
        <w:t xml:space="preserve">7</w:t>
      </w:r>
      <w:r w:rsidR="00000000" w:rsidRPr="00000000" w:rsidDel="00000000">
        <w:rPr>
          <w:rtl w:val="0"/>
        </w:rPr>
        <w:t xml:space="preserve">.panta 1.</w:t>
      </w:r>
      <w:r w:rsidR="00000000" w:rsidRPr="00000000" w:rsidDel="00000000">
        <w:rPr>
          <w:vertAlign w:val="superscript"/>
          <w:rtl w:val="0"/>
        </w:rPr>
        <w:t xml:space="preserve">1 </w:t>
      </w:r>
      <w:r w:rsidR="00000000" w:rsidRPr="00000000" w:rsidDel="00000000">
        <w:rPr>
          <w:rtl w:val="0"/>
        </w:rPr>
        <w:t xml:space="preserve">daļu tiek slēgts starp Valsts policiju un VAS “Ceļu satiksmes drošības direkcija”, paredzot paziņojumu sūtīšanas izmaksas segt no Valsts policijai valsts budžetā piešķirtajiem līdzekļiem saskaņā ar Ministru kabineta 2021. gada 2. novembra rīkojumu Nr. 775 “Par ceļu satiksmes pārkāpumu fiksēšanas tehnisko līdzekļu darbības nodrošināšanu”.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2006. gada 5. decembra noteikumos Nr. 981 "Noteikumi par mērīšanas līdzekļu atkārtoto verificēšanu, verificēšanas sertifikātiem un verificēšanas atzīmēm" (25-TA-1619)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18.02.2025. sēdes protokola Nr. 7 9. § 3.2.apakšpunkts noteic pienākumu līdz 2025. gada 1. novembrim iesniegt izskatīšanai Ministru kabinetā nepieciešamos grozījumus, lai izņemtu no šiem noteikumiem normas par vidējā ātruma kontroles ierīcēm.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2017. gada 28. novembra noteikumos Nr. 704 "Prasības transportlīdzekļu braukšanas ātruma mērierīcēm" (25-TA-1615)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2025.gada 18.februāra sēdes protokola Nr. 7 9. § 3.3.apakšpunkts noteic pienākumu līdz 2025. gada 1. novembrim iesniegt izskatīšanai Ministru kabinetā nepieciešamos grozījumus, lai izņemtu no šiem noteikumiem normas par vidējā ātruma kontroles ierīcēm.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Satiksmes ministrija, Valsts policija, VAS "Ceļu satiksmes drošības direkcija", VSIA "Latvijas Valsts ceļi"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https://vktap.mk.gov.lv/public_participations/public_discussions/0cbe5bce-b711-4229-b7c7-86b9cf751521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tika veikta Noteikumu projekta "Noteikumi par ceļu satiksmes uzraudzības tehnisko līdzekļu, kas paredzēti pārkāpumu fiksēšanai, neapturot transportlīdzekli, uzstādīšanu uz ceļiem un ar tiem fiksētās informācijas paziņošanu adresātam" 24-TA-2467 ietvaros.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policijas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CSDD nodrošinātā Transportlīdzekļu un to vadītāju valsts reģistra informācijas pieejamības tehnoloģiskie risinājumi, veicina iestāžu komunikācijas tehnoloģiju attīstību un atvieglo tām noteikto funkciju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25-TA-2052</w:t>
    </w:r>
    <w:r>
      <w:br/>
    </w:r>
    <w:r w:rsidR="00000000" w:rsidRPr="00000000" w:rsidDel="00000000">
      <w:rPr>
        <w:rtl w:val="0"/>
      </w:rPr>
      <w:t xml:space="preserve">Izdrukāts 29.07.2026. 23.10 - 4.0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25-TA-2052</w:t>
    </w:r>
    <w:r>
      <w:br/>
    </w:r>
    <w:r w:rsidR="00000000" w:rsidRPr="00000000" w:rsidDel="00000000">
      <w:rPr>
        <w:rtl w:val="0"/>
      </w:rPr>
      <w:t xml:space="preserve">Izdrukāts 29.07.2026. 23.10 - 4.0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anotācija_(ex_ante)_25-TA-2052.docx</dc:title>
</cp:coreProperties>
</file>

<file path=docProps/custom.xml><?xml version="1.0" encoding="utf-8"?>
<Properties xmlns="http://schemas.openxmlformats.org/officeDocument/2006/custom-properties" xmlns:vt="http://schemas.openxmlformats.org/officeDocument/2006/docPropsVTypes"/>
</file>