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27. oktobra noteikumos Nr. 1250 "Noteikumi par valsts nodevu par īpašuma tiesību un ķīlas tiesību nostiprināšanu zemesgrāmatā""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Satversmes tiesas 2021. gada 8. aprīļa spriedumu lietā Nr. 2020-34-03 "Par Ministru kabineta 2009. gada 27. oktobra noteikumu Nr. 1250 "Noteikumi par valsts nodevu par īpašuma tiesību un ķīlas tiesību nostiprināšanu zemesgrāmatā" atbilstību Latvijas Republikas Satversmes 91., 105., un 110. pantam" (turpmāk – Satversmes tiesas spriedums lietā Nr. 2022-03-01). Kā arī ievērojot, ka Saeima 2023.gada 9.novembrī pieņēma likumu “Grozījumi Notariāta likumā”, kas paredz iespēju slēgt notariālo aktu par partnerību, un likumu "Grozījumi Fizisko personu reģistra likumā", kas paredz Fizisko personu reģistrā iekļaut ziņas par partnerību.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Satversmes tiesas sprieduma lietā Nr. 2022-03-01 izpildi, noteikumu projekts paredz nodrošināt ekonomisko un sociālo aizsardzību personām, par kuru mantojuma atstājējam Fizisko personu reģistrā ir iekļautas Fizisko personu reģistra likuma 11. panta pirmās daļas 36. punktā noteiktās ziņas (turpmāk – partneris).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sprieduma lietā Nr. 2020-34-03 atzina Ministru kabineta noteikumu Nr. 1250 13. punktu ciktāl tas attiecas uz mantojuma atstājēja pārdzīvojušo partneri, kuram ar mantojuma atstājēju bija izveidota ģimene, par neatbilstošu Satversmes 110. panta pirmajam teikumam.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nenoteic no vispārējā regulējuma atšķirīgu valsts nodevas apmēru, kāds būtu maksājams mantojuma atstājēja partnerim. Satversmes tiesa spriedumā lietā Nr. 2020-34-03 atzina, ka valstij ir pienākums nodrošināt ekonomisku un sociālu aizsardzību un atbalstu arī mantojuma atstājēja partnerim. Satversmes tiesa 2021. gada 8. aprīļa sprieduma lietā Nr. 2020-34-03 11.punktā ir norādījusi, ka likumdevējs likumdošanas procesā izlemj tos jautājumus, kuri ir visai sabiedrībai būtiski, un pilnvaro Ministru kabinetu vai citu valsts institūciju izdot tiesību normas, kas nepieciešamas likumu īstenošanai. Saeima, darbojoties kā likumdevējs, nav tiesīga nodot izpildvarai izlemšanai tādus jautājumus, kuri saskaņā ar Satversmi ir tikai pašas Saeimas ekskluzīvajā kompetencē. Par tādu svarīgu un nozīmīgu sabiedriskās dzīves jautājumu reglamentāciju, kuros nepieciešama konceptuāla izšķiršanās un politiska diskusija, jālemj likumdevējam pašam (sal. sk. Satversmes tiesas 2009. gada 20. janvāra lēmuma par tiesvedības izbeigšanu lietā Nr. 2008-08-0306 16.1. punktu un 2015. gada 14. oktobra sprieduma lietā Nr. 2015-05-03 10. punktu). Attiecīgi Ministru kabineta tiesības izdot ārējos normatīvos aktus sniedzas vien tiktāl, ciktāl tam šīs tiesības ir nodotas ar likumu. Ministru kabinetam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(sk., piemēram, Satversmes  tiesas 2011. gada 11. janvāra sprieduma lietā Nr. 2010-40-03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2023. gada 9. novembrī pieņēma likumu "Grozījumi Notariāta likumā", nosakot tiesiskā regulējuma izveidi, kas paredz divu pilngadīgu personu ciešu personisku attiecību juridisku aizsardzību, slēdzot notariālu aktu par partnerību. Ievērojot, ka likumdevējs ar likumu ir noteicis partnerības juridisko statusu un šo attiecību tiesisko regulējumu, Ministru kabinetam ir pamats lemt par partnerībā esošo personu ekonomisko un sociālo aizsardzības instrumentu, konkrēti nosakot atbalsta pasākumu – samazinātu valsts nodevas likmi, kas izriet no Satversmes tiesa 2021.gada 8.aprīļa sprieduma lietā Nr. 2020-34-03 noteiktā.  Likuma "Grozījumi Fizisko personu reģistra likumā" pārejas noteikumu 8. punkts noteic, ka Fizisko personu reģistrā tiek iekļautas ziņas par tiesiskajām attiecībām, kas konstatētas ar tiesas nolēmumu par ģimenes tiesisko attiecību konstatēšanu, kurš pieņemts ar pieteikumu, kas iesniegts tiesā līdz 2024. gada 30. jūnijam. Pēc šo ziņu iekļaušanas Fizisko personu reģistrā personām, kuru ģimenes tiesiskās attiecības konstatēs ar tiesas nolēmumu, ir visas tās tiesības un pienākumi, kas ir personām, kuras partnerību nodibinājušas, zvērinātam notāram taisot notariālu aktu par partnerību.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samazinātu valsts nodevas apmēru  par īpašuma tiesību nostiprināšanu uz mantojuma apliecības pamata lietās par pēdējās gribas rīkojuma akta vai mantojuma līguma stāšanos likumīgā spēkā personai par kuru mantojuma atstājējam Fizisko personu reģistrā ir iekļautas Fizisko personu reģistra likuma 11. panta pirmās daļas 36. punktā noteiktās ziņas, ja mantotā nekustamā īpašuma vērtība pārsniedz 10 minimālās mēnešalgas. Proti, ņemot vērā, ka Satversmes 110. panta pirmajā teikumā ietvertais likumdevēja pienākums aizsargāt un atbalstīt ģimeni aptver arī ģimenes aizsardzību un atbalstu ģimenes locekļa nāves gadījumā, ir jānodrošina ekonomiskā un sociālā aizsardzība arī mantojuma atstājēja partnerim, testamentārajiem vai līgumiskajiem mantiniekiem, kas normatīvajos aktos noteiktā kārtībā ir tikuši atzīti par mantojuma atstājēja partneri.  Ņemot vērā minēto, mantojuma atstājēja partnerim lietās par pēdējās gribas rīkojuma akta vai mantojuma līguma stāšanos likumīgā spēkā nosakāma samazināta valsts nodeva 0,125 % apmērā no mantotā nekustamā īpašuma 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par kurām Fizisko personu reģistrā ir iekļautas Fizisko personu reģistra likuma 11. panta pirmās daļas 36. punktā noteiktās 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49 012 495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49 012 495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49 012 495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49 012 495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49 688 495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-43 561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valsts budžetu 2024. gadam un budžeta ietvaru 2024., 2025. un 2026. gadam” valsts nodeva par īpašumtiesību un ķīlas tiesību nostiprināšanu zemesgrāmatā plānota 2024. gadā 49 012 495 </w:t>
            </w:r>
            <w:r w:rsidR="00000000" w:rsidRPr="00000000" w:rsidDel="00000000">
              <w:rPr>
                <w:sz w:val="24"/>
                <w:i w:val="1"/>
                <w:rtl w:val="0"/>
              </w:rPr>
              <w:t xml:space="preserve">euro,</w:t>
            </w:r>
            <w:r w:rsidR="00000000" w:rsidRPr="00000000" w:rsidDel="00000000">
              <w:rPr>
                <w:sz w:val="24"/>
                <w:rtl w:val="0"/>
              </w:rPr>
              <w:t xml:space="preserve"> 2025. gadā un 2026. gadā 49 688 495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pārējie mantinieki, kas iegūst nekustamo īpašumu uz testamenta vai mantojuma līguma pamata maksā valsts nodevu 7,5 % apmērā. 2023. gadā bija 302 šādas personas un kopējie ieņēmumi no iemaksātajām valsts nodevām bija 442 994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Jaunais regulējums, kas stāsies spēkā 2024. gada 1. jūlijā paredz, ka no šīs grupas tiek atsevišķi izdalīti partneri un tiem tiek noteikta valsts nodeva 0,125 % apmērā. Precīzu ietekmi uz valsts budžetu nav iespējams noteikt, jo nav paredzams ne mantinieku partneru skaits, ne arī mantojuma summa, tāpēc tiek pielietots  pieņēmums, ka šis regulējums varētu attiekties uz ~10 % no personām, kuras šobrīd maksā valsts nodevu 7,5 % apmērā, kas būtu 30 personas (302 personas x 10 %) . Pie 7,5 % likmes attiecībā uz partneriem valsts nodevas ieņēmumi ir 44 299 </w:t>
            </w:r>
            <w:r w:rsidR="00000000" w:rsidRPr="00000000" w:rsidDel="00000000">
              <w:rPr>
                <w:sz w:val="24"/>
                <w:i w:val="1"/>
                <w:rtl w:val="0"/>
              </w:rPr>
              <w:t xml:space="preserve">euro</w:t>
            </w:r>
            <w:r w:rsidR="00000000" w:rsidRPr="00000000" w:rsidDel="00000000">
              <w:rPr>
                <w:sz w:val="24"/>
                <w:rtl w:val="0"/>
              </w:rPr>
              <w:t xml:space="preserve">, bet pie 0,125% likmes valsts nodevas ieņēmumi būtu 738 </w:t>
            </w:r>
            <w:r w:rsidR="00000000" w:rsidRPr="00000000" w:rsidDel="00000000">
              <w:rPr>
                <w:sz w:val="24"/>
                <w:i w:val="1"/>
                <w:rtl w:val="0"/>
              </w:rPr>
              <w:t xml:space="preserve">euro </w:t>
            </w:r>
            <w:r w:rsidR="00000000" w:rsidRPr="00000000" w:rsidDel="00000000">
              <w:rPr>
                <w:sz w:val="24"/>
                <w:rtl w:val="0"/>
              </w:rPr>
              <w:t xml:space="preserve">(0,125 * 44 299 </w:t>
            </w:r>
            <w:r w:rsidR="00000000" w:rsidRPr="00000000" w:rsidDel="00000000">
              <w:rPr>
                <w:sz w:val="24"/>
                <w:i w:val="1"/>
                <w:rtl w:val="0"/>
              </w:rPr>
              <w:t xml:space="preserve">euro </w:t>
            </w:r>
            <w:r w:rsidR="00000000" w:rsidRPr="00000000" w:rsidDel="00000000">
              <w:rPr>
                <w:sz w:val="24"/>
                <w:rtl w:val="0"/>
              </w:rPr>
              <w:t xml:space="preserve">/ 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nodevas samazinājums:  44 299 </w:t>
            </w:r>
            <w:r w:rsidR="00000000" w:rsidRPr="00000000" w:rsidDel="00000000">
              <w:rPr>
                <w:sz w:val="24"/>
                <w:i w:val="1"/>
                <w:rtl w:val="0"/>
              </w:rPr>
              <w:t xml:space="preserve">euro</w:t>
            </w:r>
            <w:r w:rsidR="00000000" w:rsidRPr="00000000" w:rsidDel="00000000">
              <w:rPr>
                <w:sz w:val="24"/>
                <w:rtl w:val="0"/>
              </w:rPr>
              <w:t xml:space="preserve"> – 738 euro = 43 561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w:t>
            </w:r>
            <w:r w:rsidR="00000000" w:rsidRPr="00000000" w:rsidDel="00000000">
              <w:rPr>
                <w:sz w:val="24"/>
                <w:rtl w:val="0"/>
              </w:rPr>
              <w:t xml:space="preserve"> </w:t>
            </w:r>
            <w:r w:rsidR="00000000" w:rsidRPr="00000000" w:rsidDel="00000000">
              <w:rPr>
                <w:sz w:val="24"/>
                <w:b w:val="1"/>
                <w:rtl w:val="0"/>
              </w:rPr>
              <w:t xml:space="preserve">gadā</w:t>
            </w:r>
            <w:r w:rsidR="00000000" w:rsidRPr="00000000" w:rsidDel="00000000">
              <w:rPr>
                <w:sz w:val="24"/>
                <w:rtl w:val="0"/>
              </w:rPr>
              <w:t xml:space="preserve"> valsts nodevas ieņēmumu samazinājums </w:t>
            </w:r>
            <w:r w:rsidR="00000000" w:rsidRPr="00000000" w:rsidDel="00000000">
              <w:rPr>
                <w:sz w:val="24"/>
                <w:b w:val="1"/>
                <w:rtl w:val="0"/>
              </w:rPr>
              <w:t xml:space="preserve">21 781 </w:t>
            </w:r>
            <w:r w:rsidR="00000000" w:rsidRPr="00000000" w:rsidDel="00000000">
              <w:rPr>
                <w:sz w:val="24"/>
                <w:b w:val="1"/>
                <w:i w:val="1"/>
                <w:rtl w:val="0"/>
              </w:rPr>
              <w:t xml:space="preserve">euro</w:t>
            </w:r>
            <w:r w:rsidR="00000000" w:rsidRPr="00000000" w:rsidDel="00000000">
              <w:rPr>
                <w:sz w:val="24"/>
                <w:rtl w:val="0"/>
              </w:rPr>
              <w:t xml:space="preserve"> (50 % no 43 561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r w:rsidR="00000000" w:rsidRPr="00000000" w:rsidDel="00000000">
              <w:rPr>
                <w:sz w:val="24"/>
                <w:rtl w:val="0"/>
              </w:rPr>
              <w:t xml:space="preserve"> </w:t>
            </w:r>
            <w:r w:rsidR="00000000" w:rsidRPr="00000000" w:rsidDel="00000000">
              <w:rPr>
                <w:sz w:val="24"/>
                <w:b w:val="1"/>
                <w:rtl w:val="0"/>
              </w:rPr>
              <w:t xml:space="preserve">gadā </w:t>
            </w:r>
            <w:r w:rsidR="00000000" w:rsidRPr="00000000" w:rsidDel="00000000">
              <w:rPr>
                <w:sz w:val="24"/>
                <w:rtl w:val="0"/>
              </w:rPr>
              <w:t xml:space="preserve">un turpmāk katru gadu valsts nodevas ieņēmumu samazinājums </w:t>
            </w:r>
            <w:r w:rsidR="00000000" w:rsidRPr="00000000" w:rsidDel="00000000">
              <w:rPr>
                <w:sz w:val="24"/>
                <w:b w:val="1"/>
                <w:rtl w:val="0"/>
              </w:rPr>
              <w:t xml:space="preserve">43 561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Darījumu skaits un apmērs nav prognozējams, līdz ar to ietekme uz budžetu ir indikatīva.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spriedumam lietā Nr. 2020-34-03 šāda regulējuma ieviešana nodrošina Satversmes 110. panta pirmajā teikumā ietvertās personas tiesības. Valstij no Satversmes 110. panta izriet pienākums nodrošināt sociālajā realitātē pastāvošu attiecību juridisko aizsardzību, kā arī sociālo un ekonomisko aizsardzību un atbalstu. Valsts šo pienākumu var izpildīt normatīvajos aktos paredzot dažādus aizsardzības un atbalsta pasākumus personām, kuras nodibinājušas partnerību. Tika konstatēts, ka apstrīdētā norma, ciktāl tā neattiecas uz mantojuma atstājēja pārdzīvojušo partneri, neatbilst Satversmes 110. panta pirmajam teikumam. Noteikumu projekts novērš Satversmes tiesas konstatētos trūkumus.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24-TA-197</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24-TA-197</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anotācija_(ex_ante)_24-TA-197.docx</dc:title>
</cp:coreProperties>
</file>

<file path=docProps/custom.xml><?xml version="1.0" encoding="utf-8"?>
<Properties xmlns="http://schemas.openxmlformats.org/officeDocument/2006/custom-properties" xmlns:vt="http://schemas.openxmlformats.org/officeDocument/2006/docPropsVTypes"/>
</file>