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pašrealizācijai"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pašrealizācijai" īstenošanas noteikumi" (turpmāk – noteikumu projekts) izstrādāts saskaņā ar Eiropas Savienības fondu 2021.–2027. gada plānošanas perioda vadības likuma 19. panta 6. un 13.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Pārresoru koordinācijas departamenta kā Pārresoru koordinācijas centra (turpmāk – PKC) tiesību un saistību pārņēmēja (no 01.03.2023.) uzdevumi un pilnvarojums starpnozaru sadarbības un atbalsta sistēmas izveidei bērnu veselīgas attīstības un sekmīgas pašrealizācijas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2019. gada 20. augusta sēdes protokollēmumā (prot. Nr. 35 26. § 19. punkts) "Informatīvais ziņojums "Par valsts budžeta izdevumu pārskatīšanas rezultātiem un priekšlikumi par šo rezultātu izmantošanu likumprojekta "Par vidējā termiņa budžeta ietvaru 2020., 2021. un 2022. gadam" un likumprojekta "Par valsts budžetu 2020. gadam" izstrādes procesā"" dotais uzdevums – par finansējumu, kas novirzīts pedagoģiski psiholoģiskā atbalsta dienesta izveidei un pakalpojumu nodrošināšanai vispusīgai bērnu attīstībai un preventīvo funkciju īstenošanai visā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2019. gada 3. septembra protokollēmumā (prot. Nr. 37 25.§ 2. punkts) "Konceptuāls ziņojums "Starpnozaru sadarbības un atbalsta sistēmas pilnveide bērnu attīstības, uzvedības un psihisko traucējumu veidošanās risku mazināšanai"" dotais uzdevums – turpināt darbu, sagatavojot priekšlikumus par publiskā finansējuma piesaistes un pārdales iespējām, lai īstenotu konceptuālajā ziņojumā minēto un izveidotu pedagoģiski psiholoģiskā atbalsta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2019. gada 17. septembra sēdes protokollēmumā (prot. Nr. 42 34. § 2. punkts) "Informatīvais ziņojums "Par prioritārajiem pasākumiem valsts budžetam 2020. gadam un ietvaram 2020.–2022. gadam"" ietvertais prioritārais pasākums – starpnozaru sadarbības un atbalsta sistēmas pilnveides uzsākšana pirmsskolas vecuma bērniem ar attīstības, uzvedības un psihisko traucējumu riskiem, Multimodālas agrīnās intervences programmas STOP 4–7 īstenošanas uzdevums un tam piešķirtais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2020. gada 21. janvāra sēdes protokollēmumā (prot. Nr. 3 32. § 9.1. apakšpunkts un 13. punkts) "Rīkojuma projekts "Grozījumi Eiropas Savienības struktūrfondu un Kohēzijas fonda 2014. – 2020. gada plānošanas perioda darbības programmā "Izaugsme un nodarbinātība""" dotais uzdevums – asistīvo tehnoloģiju apmaiņas sistēmas izglītības iestādēm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2020. gada 22. septembra sēdes protokollēmumā (prot. Nr. 55 38. § 2. punkts) "Informatīvais ziņojums "Par priekšlikumiem valsts budžeta ieņēmumiem un izdevumiem 2021. gadam un ietvaram 2021.–2023. gadam"" ietvertais prioritārais pasākums – pedagoģiski psiholoģiskā atbalsta dienesta izveidei piešķirtais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2021. gada 29. jūnija sēdes protokollēmumā (prot. Nr. 50 36. § 2. punkts) "Noteikumu projekts "Izglītojamo speciālo vajadzību izvērtēšanas metodika pirmsskolas izglītības iestādēs"" dotais uzdevums –Pārresoru koordinācijas centram sadarbībā ar Izglītības un zinātnes ministriju un Veselības ministriju sākt darbu, lai līdz 2023. gada 31. decembrim izstrādātu bērnu vecumā no 1,5 līdz 6 gadiem vienotu agrīnās attīstības vajadzību novērtējuma metodisko instrumentu komplektu izmantošanai izglītības un veselības aprūpes jomās, ietverot arī speciālo vajadzību novērtēšanas instrumentu izglītojamiem pirms obligātās pirmsskolas izglītības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prezidenta 2022. gada 10. janvāra rezolūcijā dotais uzdevums – Pārresoru koordinācijas centram sadarbībā ar Izglītības un zinātnes ministriju, Veselības ministriju, Labklājības ministriju un Vides aizsardzības un reģionālās attīstības ministriju turpināt uzsāktās reformas pedagoģiski psiholoģiskā atbalsta institucionālā risinājuma izstrādei un agrīnās prevencijas pakalpojumu attīstībai visā valsts teritorijā (valsts un pašvaldību līmenī), sagatavojot un īstenojot pierādījumos balstītus pakalpojumus un vienlaikus nodrošinot atbalstu, kas orientēts uz bērnu attīstības vajadzībām, kā arī to izpēti, novērtēšanu, diagnostiku un agrīnu intervenci;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attīstības pamatnostādņu 2021.–2027. gadam "Nākotnes prasmes nākotnes sabiedrībai" rīcības plāna 2021.–2023. gadam (apstiprinātas ar Ministru kabineta 2022. gada 3. novembra rīkojumu Nr. 795) 3. mērķī "Atbalsts ikviena izaugsmei" un tā 3.1. rīcības virzienā "Institucionāli risinājumi atbalsta nodrošināšanai ikviena izaugsmei” ietvertie pasākumi;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Bērnu, jaunatnes un ģimenes attīstības pamatnostādņu 2022.–2027. gadam (apstiprinātas ar Ministru kabineta 2022. gada 21. decembra rīkojumu Nr. 967) 1. mērķī "Sekmēt bērnu un jauniešu drošību, attīstību, psiholoģisko un emocionālo labklājību" un tā 1. rīcības virzienā "Agrīns preventīvs atbalsts veselīgai bērnu un jauniešu attīstībai" noteiktie mērķi un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Latvijas Nacionālā attīstības plāna 2021.–2027. gadam rīcības virzienā "Psiholoģiskā un emocionālā labklājība" un rīcības virzienā "Kvalitatīva, pieejama, iekļaujoša izglītība" noteiktie mērķi un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Deklarācijas par Artura Krišjāņa Kariņa vadītā Ministru kabineta iecerēto darbību (14.12.2022.) nodaļā "Ģimenes un bērnu atbalsta politika un vardarbības mazināšana" ietvertais 244. uzdevums "Īstenosim ilgtspējīgu tautas ataudzes politiku demogrāfiskās situācijas atveseļošanai, kas vērsta uz bērna vislabākajās interesēs balstītu pakalpojumu un cita atbalsta sniegšanu ģimenēm ar bērniem, vadoties pēc principa – bērns centrā" un 245. uzdevums "Ieviesīsim vienotu, preventīvu agrīnā atbalsta sistēmu bērniem un ģimenēm, nodrošinot uz bērna labbūtību vērstu pilnvērtīgu bērna fiziskās un psihiskās veselības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Valdības rīcības plānā minētie pasākumi Deklarācijas uzdevumu izpildei – 245.1. pasākums "Ieviest agrīnas, sistēmiskas un pierādījumos balstītas intervences bērnu un jauniešu attīstības un ģimenes labbūtības risku atpazīšanai un novēršanai" un 245.2. pasākums "Izveidot integrētu agrīnā preventīvā atbalsta (profilakses un agrīnās intervences) sistēmu bērniem attīstības risku savlaicīgai identificēšanai un reaģēšanai"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kādā tiek īstenotas Eiropas Savienības kohēzijas politikas programmas 2021.–2027.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pašrealizācijai" aktivitātes, veidojot agrīnā preventīvā atbalsta sistēmu (turpmāk – APAS)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Mūsdienu sabiedrībā šobrīd notiek vērienīgas pārmaiņas praktiski visās sistēmās – tautsaimniecībā, ekonomikā, inženiertehnoloģijās, informācijas un komunikāciju tehnoloģijās, izglītības sistēmā, valsts demogrāfiskajā situācijā u. c. sistēmās. Vērienīgās transformācijas objektīvi ietekmē teju vai katru Latvijas ģimeni, kā arī rada pilnīgi jaunus riskus un izaicinājumus bērnu attīstības procesa norisēs un bērnu iekļaujošai integrācijai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Daži galvenie XXI gs. jaunie riski, kas bērnu attīstībā var radīt dažādus negatīvus attīstības scenārijus un neatbilstošas attīstības trajektorijas: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bērnības sociālās stratifikācijas riski, t. i., būtisku nozīmīgu atšķirību rašanās bērnu attīstības trajektorijās bērniem no dažādām sabiedrības sociālajām grupām, no dažādiem reģioniem, pilsētām un lauku novadiem, radot bērnu attīstības iespēju nevienlīdzību un līdz ar to veidojot dažādu bērnību tipu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ģimenes kā galvenā socializācijas institūta krīze. Tā izpaužas gan kā vecāku aizņemtība un nespēja kvalitatīvi un pilnvērtīgi iesaistīties bērnu emocionālajā attīstībā, gan kā ģimenes dezadaptācija (laulību šķiršanas skaita pieaugums, disfunkcionālas ģimenes, deviantas uzvedības vecāki, vardarbība ģimenēs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un pusaudžu psihiskās attīstības līmeņa polarizācija – līdzās bērnu grupām ar paātrinātu attīstību pieaug bērnu īpatsvars ar dažādas izcelsmes attīstības problēmām, tai skaitā ar mācīšanās, uzvedības, psihoemocionāliem, kognitīvās attīstības u. c.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pirmsskolas vecuma bērnu intelektuālās attīstības forsēšanas riski (mākslīgā akcelerācija), t. i., nereti pirmsskolas izglītība pastiprināti tiek pielīdzināta skološanas pieejai, kas var radīt tālejošas destruktīvas sekas, jo pārlieka agrīna apmācība izspiež šim vecumposmam raksturīgās lomu rotaļu darbības izzinoši pētniecisko prāta darbību un pirmsskolēnu komunikatīvo spēju attīstību caur lomu rotaļu kā šā vecumposma vadošo darbību. Tā rezultātā var neizveidoties nepieciešamie psiholoģiskie priekšnoteikumi turpmākai bērnu veiksmīgai mācību darbības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zemais bērnu un pusaudžu informatīvās vides drošības līmenis (negatīvo un deviantu paraugu plašā pieejamība, radot pamatu kļūdainiem pašnoteikšanās orientieriem sociālās integrācijas procesā, pozitīvas vērtīborientācijas deficīts, stereotipiskās uztveres veidošanās par sociālo agresiju un vardarbību kā pieņemamu izturēšanos, "savējie – svešie" nostādnes agresīva aizstāvēšana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socializācijas grūtību un desocializācijas vai alternatīvās socializācijas riski – bērnu un jauniešu prosociālu grupu deficīta situācijā notiek to aizstāšana ar alternatīvām referentām grupām – asociālām, ekstrēmiskām, deviantām, sektantiskām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vecuma robežu izplūšana deviantās uzvedības risku gadījumos – jau arvien agrīnākā bērnībā iestājas agrīnais alkoholisms, toksikomānija, psihoaktīvo vielu lietošana, narkomānija;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interneta vides riski – līdzās tā ievērojamām priekšrocībām internets ietver arī augstus riskus gan "digitālās infantilizācijas" veidā, aizstājot dabisko pasaules izziņas procesu ar viedierīču piedāvātajām ērtībām un formātiem, gan arī asociālu identifikācijas orientieru izvēlei (atkarība, aiziešana no reālas saskarsmes un pazušana virtuālajā pasaulē, asociālu atdarināšanas modeļu izvēle personības pašnoteikšanās vajadzībām u. c. personības attīstības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Aktuālie pasaules attīstīto valstu un arī Latvijas dati par bērnu attīstības procesa norisēm XXI gs. pirmajās desmitgadēs pārliecinoši rāda, ka vismaz 17–20 % bērnu viņu pieaugšanas ceļā sastopas ar dažādiem attīstības riskiem un vajadzībām, kad nepieciešams profesionāls speciālistu atbalsts. Pēdējos gados līdzās bērnu mācīšanās vajadzībām jo īpaši aktuāla kļūst koordinēta profesionāla atbalsta nepieciešamība bērnu uzvedības un emociju jomas attīstībai, kā arī sociālo un sadarbības prasmju stiprināšanai. Laikus nenodrošinot minēto atbalstu, tiek traucēta bērna adekvāta iekļaušanās sabiedrībā, viņa izglītības ieguves process un kvalitāte, kā arī samazinās bērna izredzes dzīvē. Tieši šo iemeslu dēļ bērna agrīnās attīstības individuālo vajadzību izvērtēšana, savlaicīga risku identifikācija, apsteidzošu atbalsta pakalpojumu (profilakse un agrīnā intervence) un to īstenošanai nepieciešamo dažādu specifisku metodisko instrumentu un programmu attīstība, kā arī to pieejamības nodrošināšana visiem Latvijas bērniem, izmantojot daudzprofesionālus vietējos sadarbības tīklus, kļūst par prioritāti un pamata vajadzību, domājot par bērnu labbūtību un nākotni. Viss minēto pasākumu kopums veido APAS infrastruktūru valstī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nav izstrādāta vienota agrīnā preventīvā atbalsta (turpmāk – APA) jēdziena izpratne. Tā saturs nav noteikts, agrīns preventīvs atbalsts nav definēts normatīvajos aktos, un arī praksē nav izveidojusies saprotama robežšķirtne starp agrīno preventīvo atbalstu (profilakse un agrīnā intervence) un prevenciju, kas tiek īstenota, raugoties caur krīzes gadījumu prizmu. Agrīnā prevence ir visu bērna attīstības vajadzību nodrošināšana, sniedzot savlaicīgu atbalstu bērna attīstības potenciāla atraisīšanai – psihoemocionālās un sociālās attīstības, intelektuālās, uzvedības un fiziskās attīstības dimensijās un bērna personības integritātes jomā kopumā (tai skaitā arī bērniem ar speciālām vajadzībām). Jāatzīmē, ka šos jautājumus nerisina bērnu tiesību aizsardzības institūcijas, tām ir citi uzdevumi un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nepietiekami tiek apzināta katras no šīm atšķirīgajām atbalsta pakalpojumu jomām specifika, to mērķa grupas, atbalsta sniegšanas mērķi, šajās jomās strādājošo speciālistu atšķirīgais profesionālo kompetenču profils un izmantojamo pierādījumos balstīto metodisko instrumentu un atbalsta pakalpojumu programmu specifiskais klāsts. Skaidra un vienota izpratne šajos jautājumos mūsu valstī ir akūti nepieciešama, jo tieši no tās izriet vienas vai otras valsts politikas plānošanas pieejas izmantošana attiecībā uz mērķtiecīgu resursu ieguldīšanu un gaidītās atdeves saņemšanu. Vai nu plāni ir pakārtoti tikai "ugunsgrēka dzēšanai" (prevencija caur krīzes gadījumu prizmu), vai arī valsts vienlaikus uzsāk plānot un īstenot arī holistisku, horizontālu, starpsektoriālu APA pieeju, kas ietvertu visus bērnus, nevis tikai krīzes bērnus.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APAS un tās pakalpojumu infrastruktūras attīstība nozīmē veidot bērnu agrīnās attīstības vajadzību identificēšanas, novērtēšanas un APA (profilakses un agrīnās intervences) pierādījumos balstītu metodisko instrumentu un programmu izstrādi, to izmantošanas Latvijā sagatavošanu, nepieciešamo speciālistu apmācību pakalpojumu ieviešanā visiem Latvijas bērniem, viņu vecākiem, iesaistītajiem multiprofesionāliem speciālistiem, valsts un pašvaldību institūcijām, zinātniskajām organizācijām un nevalstiskajām organizācijām, sekmējot to iesaisti un līdzdalību bērnu veselīgas attīstības procesu nodrošināšanā un iekļaušanā visos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valsts pašnoteikšanās vienas vai otras prevencijas politikas veidošanā jau plānošanas posmā rada (projektē) attiecīgi vienus vai otrus sagaidāmos rezultātus – vai nu vēl vairāk krīzes un vēl lielākus tēriņus to pārvarēšanā (un tā ir ļoti dārga pieeja), vai arī, veicot mērķtiecīgus ieguldījumus APAS infrastruktūras izveidē, pakāpeniski tiek panākts, ka nākotnē būs mazāk bērnu, kuri nonāks līdz krīzei. Tieši valsts politiskās gribas ideja attiecībā uz Latvijas bērniem nosaka (vai nenosaka) stratēģisko vektoru sabiedrisko resursu ieguldījumiem un risinājumu izstrādei valsts preventīvā atbalsta sistēmai kopumā un abām prevencijas apakšsistēmām, tādējādi ilgtermiņā pakāpeniski panākot resursu nepieciešamības samazinājumu bērnu krīzes infrastruktūras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APA (profilakses un agrīnās intervences) pakalpojumu trūkuma sekas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risku, APA pakalpojumu (pierādījumos balstītu metodisko instrumentu, speciālistu, specifisko programmu) pieejamības trūkuma un citu situatīvi konkrētu apstākļu mijiedarbības rezultātā Latvijas bērnu attīstības reālajā praksē ir iestājušās šādas negatīvas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Latvijā 2017. gadā bija 358 762 bērni, no tiem 1,8 % (~6400) Latvijas bērnu atrodas ārpusģimenes aprūpē (konstatēts konceptuālā ziņojuma "Starpnozaru sadarbības un atbalsta sistēmas pilnveide bērnu attīstības, uzvedības un psihisko traucējumu veidošanās risku mazināšanai"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pasaulē veiktajos pētījumos (</w:t>
      </w:r>
      <w:r w:rsidR="00000000" w:rsidRPr="00000000" w:rsidDel="00000000">
        <w:rPr>
          <w:i w:val="1"/>
          <w:rtl w:val="0"/>
        </w:rPr>
        <w:t xml:space="preserve">Klitzing, K., Dohnert, M., Kroll, M. Grube, M. 2015. Mental Disorders in Early Childhood, Deutsches Arzteblatt International</w:t>
      </w:r>
      <w:r w:rsidR="00000000" w:rsidRPr="00000000" w:rsidDel="00000000">
        <w:rPr>
          <w:rtl w:val="0"/>
        </w:rPr>
        <w:t xml:space="preserve">, 112:375-386) konstatēts, ka attīstības, uzvedības un psihiskās veselības traucējumi bērniem līdz 6 gadu vecumam ir novēroti 16–18 % gadījumu. Nav pamata domāt, ka situācija Latvijā būtiski atšķirtos no pasaulē novērojamām tendencēm.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Ilgstošas APAS sistēmas neesības un APAS pakalpojumu trūkuma dēļ ievērojams skaits bērnu attīstības procesa grūtību ir kļuvušas par akūti risināmām problēmām. Daži fakti: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skolēni, kuri pēdējā gada laikā apmeklējuši pedagoģiski medicīnisko komisiju (redzes, dzirdes, fiziskās un psihiskās attīstības traucējumi somatiskās saslimšanas), – 7000–8000;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nepilngadīgie, kuri pēdējā gada laikā apmeklējuši psihiatru, – 9000 (unikālo gadījumu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psihiatriskajā uzskaitē esošie nepilngadīgie – 10 697;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ilgstoši kavē skolu – 1600;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skolēni, kuri cietuši no skolasbiedru ņirgāšanās, – 22,3 %;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jaunieši ar simptomiem un sūdzībām par depresiju – 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pusaudži ar datoratkarības veidošanās risku – 30 % (Holšteina tests);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jaunieši ar iespējamu alkohola atkarību – 6 % (CIDI tests).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APAS pakalpojumi ir multiprofesionāli, un arī Latvijā tie vienlaikus skar vairāku ministriju politikas, tomēr galvenās APAS funkcionēšanā iesaistītās jomas ir veselība un izglītība. Protams, pastarpināti nepieciešams koordinēt sadarbību ar sociālo pakalpojumu sniedzējiem (LM pārziņā esošo sociālā atbalsta pakalpojumu jomu) un bērnu tiesību aizsardzības institūcijām (jomu koordinē LM). Ņemot vērā, ka par veselības aprūpes iestāžu tīklu un izglītības iestāžu tīklu daļēji vai pilnībā atbild pašvaldības, būtiska ir pašvaldību iesaiste APAS pakalpojumu attīstīšanā. Iesaistāma arī VARAM kā atbildīgā ministrija par pirmsskolas izglītības iestāžu tīkla attīstības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dažādām bērnu politikām atbildīgās nozaru ministrijas atbilstoši iespējām plāno un īsteno atsevišķus bērnu un jauniešu prevencijas pasākumus, taču pašreizējā institucionālajā ietvarā APAS pakalpojumi līdz šim nav ieņēmuši nozīmīgu vietu, salīdzinot ar prevenciju, raugoties no krīzes aspekta. Minētās disproporcijas dēļ valsts pieejā APAS pakalpojumiem šobrīd kopējā situācija ir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Latvijā bieži vien nav izstrādāts saturs sistēmiskam agrīnam atbalstam, visai problemātiskas ir speciālistu sadarbības spējas, ir nepietiekama kvalifikācija visatbilstošākā atbalsta sniegšanā. Tā kā atbalsta saņemšana ir novēlota, ievērojami mazinās tā pozitīvā ietekme uz mērķgrupu un līdz ar to arī izmaksu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 masā lielākais uzsvars ir novēlota reaģēšana tikai krīzes situācijā vai prevencija, raugoties no krīzes ietvara, t. i., atbalsta sistēma strādā "pēc pieprasījuma iesnieguma", nevis proaktīvi;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 masā vērojama vienveidība, uzsvaru liekot uz konsultēšanu, nevis uz bērnu attīstības grūtību situācijas izmainošām darbības pieejām – agrīnu risku novērtēšanas un agrīnās intervences tehnikām, metodiskiem instrumentiem. Uzsvars būtu liekams tieši uz bērna attīstības trajektorijas un situācijas praktiskas izmainīšanas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APAS pakalpojumi novērojami tikai epizodiski;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vērojams izteikts APAS pakalpojumu īstenošanai nepieciešamo specifisko metodisko instrumentu, programmu un attiecīgi izglītotu speciālistu trūkums to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vērojamas krasas reģionālās atšķirības attiecībā uz pakalpojumu kvalitātes līmeni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nevalstisko organizāciju sniegtie pakalpojumi ir labi un nepieciešami, taču tie ir fragmentēti un nav pieejami visur Latvijā, līdz ar to neveido vienotu atbalsta sistēmu ģimenēm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vērojama sektoru sniegto atbalsta pakalpojumu fragmentētība un sadrumstalotība to mērķos, saturā, pieejamībā un rezultātos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Valsts kancelejas Pārresoru koordinācijas departaments, piesaistot Eiropas Savienības kohēzijas politikas programmas 2021.–2027. gadam finansējumu 2021.–2027. gada plānošanas periodam, īstenos pasākumus šādos galvenajos konceptuālajos virzienos: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turpinās sadarbību ar pasaulē un Latvijā savu efektivitāti jau pierādījušo agrīnās intervences un profilakses programmu izstrādātājiem, veicot dažādu APA profilakses un intervences programmu un metodisko instrumentu izpēti, atlasi un iegādi vai izstrādi to tālākai sagatavošanai ieviešanai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veiks dažādu APA programmu un metodisko instrumentu sagatavošanu sistēmiskai ieviešanai adaptāciju Latvijas kultūrvidei, pilotēšanu, validēšanu, standartizāciju, speciālistu apmācību un sertifikāciju, kā arī jaunveidojamā atbalsta pakalpojuma ieviešanas modeļa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sagatavotos jaunos APAS pakalpojumus sistēmiski ieviesīs visos Latvijas reģionos sadarbībā ar multiprofesionālām komandām un ieviesējorganizācijām atbilstoši nepieciešamībai, kas noteikta Ministru kabineta apstiprinātajos plānošanas dokumentos – Izglītības attīstības pamatnostādņu 2021.–2027. gadam "Nākotnes prasmes nākotnes sabiedrībai" rīcības plānā 2021.–2023. gadam (3. mērķa "Atbalsts ikviena izaugsmei" 3.1. rīcības virzienā "Institucionāli risinājumi atbalsta nodrošināšanai ikviena izaugsmei" noteiktie pasākumi) un Bērnu, jaunatnes un ģimenes attīstības pamatnostādnēs 2022.–2027. gadam (1. mērķa "Sekmēt bērnu un jauniešu drošību, attīstību, psiholoģisko un emocionālo labklājību" 1. rīcības virzienā "Agrīns preventīvs atbalsts veselīgai bērnu un jauniešu attīstībai" noteiktie mērķi un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Galveno konceptuālo risinājumu virzienu definēšana, praktiski uzsākot Eiropas Savienības kohēzijas politikas programmas 2021.–2027.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pašrealizācijai" (turpmāk – 4.3.6.7. pasākums) īstenošanu, sākotnēji tika balstīta pētniecībā.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ir ņemt vērā gan ārvalstu labāko APAS veidošanas pieredzi, analizējot informāciju, kas iegūta pētījumos un jau izstrādātu APA metožu izmantošanā praksē, gan arī izpētīt aktuālo situāciju Latvijas pašvaldībās, lai iepazītā un Latvijas vajadzībām piemērotā ārvalstu prakse ļautu labāk izvērtēt un noteikt jaunattīstāmo APAS pakalpojumu kopumu bērniem un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visas plānotās darbības 4.3.6.7. pasākuma ietvaros Latvijas APAS pakalpojumu attīstībai balstīsies uz ārvalstu un Latvijas zinātnē, pētniecībā un labās prakses pieredzē iegūtajām atziņām un izdarītajiem secinājumiem attiecībā uz pakalpojumu izstrādē un ieviešanā risināmiem uzdevumiem.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2022. gadā organizēja pētījumu agrīnā preventīvā atbalsta sistēmas un agrīnās profilakses un intervences pakalpojumu groza izveidei Latvijā [http://petijumi.mk.gov.lv/sites/default/files/title_file/Petijums_agrina_prevent_atbalsta_sistemas_un_pakalpojumu_groza_izveidei.pdf].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vienas puses, pētījums ietvēra ārvalstu labās prakses analīzi APAS ieviešanā un nodrošināšanā, detalizēti analizējot piecu valstu pieredzi (Igaunija, Dānija, Apvienotā Karaliste, Vācija, ASV) pieredzi. Pētījuma dalībnieki ārvalstu eksperti akcentē, ka agrīnās intervences pakalpojumu bērniem ar attīstības grūtībām īstenošana aizsākusies jau sešdesmitajos gados ASV un septiņdesmitajos – Eiropā. Nākamais posms, jo īpaši lielākas izpratnes ziņā par visaptverošāka APA nozīmi, sakrīt ar pasaules ekonomiskās recesijas laiku (2007.–2009. gads). Šajā laikā vairākas valstis atzina, ka līdzšinējā "ugunsgrēka dzēšanas stratēģija", koncentrējoties galvenokārt uz būtiskiem bērnu tiesību aizsardzības pārkāpumiem, nav rezultatīva, un meklēja arvien iedarbīgākus un izmaksu ziņā efektīvākus risinājumus bērnu tiesību nodrošināšanai, tai skaitā attīstības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otras puses, pētījums ietvēra visu Latvijas pašvaldību aptauju par aktuālo situāciju to īstenoto atbalsta un, jo īpaši, APA pakalpojumu jomā, to pieejamībā, kā arī pagaidām vēl neatrisināto jautājumu apzināšanu tieši APA pakalpojumu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Pētījuma secinājumi un priekšlikumi tiks ņemti vērā, ieviešot 4.3.6.7.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4.3.6.7. pasākuma ietvaros līdz 2029. gada 31. decembrim sasniedzamais specifiskais rezultāta rādītājs: bērni ar attīstības grūtībām, nepietiekamībām vai to veidošanās risku, kuriem veicināta pozitīva attīstība un pašrealizācija, – 14 150 (kumulatīvais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2029. gada 31. decembrim sasniedzamais iznākuma rādītājs: bērni vecumā līdz 18 gadiem, kuri saņēmuši atbalstu, – 4420; nacionāla, reģionāla vai vietēja mēroga valsts administrācijas vai sabiedrisko pakalpojumu iestāžu un pakalpojumu skaits, kas saņēmuši atbalstu – 836; nodarbinātās personas, tostarp pašnodarbinātās personas, kuras saņēmušas atbalstu, – 3750.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 gada 31. decembrim sasniedzamais starpposma rādītājs: bērni līdz 18 gadiem, kuri saņēmuši atbalstu, – 2830; nacionāla, reģionāla vai vietēja mēroga valsts administrācijas vai sabiedrisko pakalpojumu iestāžu un pakalpojumu skaits, kas saņēmuši atbalstu – 273; nodarbinātās personas, tostarp pašnodarbinātās personas, kuras saņēmušas atbalstu, – 400.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Iznākuma un specifiskā rezultāta rādītāja uzskaiti veic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4.3.6.7. pasākuma ietvaros līdz 2029. gada 31. decembrim ar plānotajām investīcijām paredzēts sniegt atbalstu kopumā 836 nacionāla, reģionāla un vietēja mēroga institūcijām,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700 izglītības iestādēm jeb 50 % no kopējā izglītības iestāžu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 sociālajiem dienestiem jeb 90 % no kopējā sociālo dienestu skaita pēc administratīvi teritoriālās reformas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iestādēm, tostarp primārās veselības aprūpes pakalpojumu sniedzējiem un stacionārajām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bāriņtiesām, paredzot sasniegt 90 % no kopējā bāriņtiesu skaita pēc administratīvi teritoriālās reformas un bāriņtiesu reformas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pārvaldēm, paredzot sasniegt 90 % no kopējā izglītības pārvalžu skaita pēc administratīvi teritoriālās reformas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4.3.6.7. pasākuma mērķa grupa ir bērni vecumā līdz 18 gadiem; personas, kuru aizgādnībā vai aizbildnībā ir bērni vecumā līdz 18 gadiem; ārstniecības personas un ārstniecības atbalsta personas; vispārējo izglītības iestāžu pedagogi un atbalsta personāls; ārstniecības iestādes; vispārējās izglītības iestādes;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4.3.6.7. pasākuma kopējais attiecināmais finansējums, lai slēgtu vienošanos par projektu īstenošanu, ir 36 343 633 </w:t>
      </w:r>
      <w:r w:rsidR="00000000" w:rsidRPr="00000000" w:rsidDel="00000000">
        <w:rPr>
          <w:i w:val="1"/>
          <w:rtl w:val="0"/>
        </w:rPr>
        <w:t xml:space="preserve">euro</w:t>
      </w:r>
      <w:r w:rsidR="00000000" w:rsidRPr="00000000" w:rsidDel="00000000">
        <w:rPr>
          <w:rtl w:val="0"/>
        </w:rPr>
        <w:t xml:space="preserve">, ko veido Eiropas Sociālā fonda Plus finansējums 30 892 088 </w:t>
      </w:r>
      <w:r w:rsidR="00000000" w:rsidRPr="00000000" w:rsidDel="00000000">
        <w:rPr>
          <w:i w:val="1"/>
          <w:rtl w:val="0"/>
        </w:rPr>
        <w:t xml:space="preserve">euro </w:t>
      </w:r>
      <w:r w:rsidR="00000000" w:rsidRPr="00000000" w:rsidDel="00000000">
        <w:rPr>
          <w:rtl w:val="0"/>
        </w:rPr>
        <w:t xml:space="preserve">apmērā un valsts budžeta līdzfinansējums 5 451 545 </w:t>
      </w:r>
      <w:r w:rsidR="00000000" w:rsidRPr="00000000" w:rsidDel="00000000">
        <w:rPr>
          <w:i w:val="1"/>
          <w:rtl w:val="0"/>
        </w:rPr>
        <w:t xml:space="preserve">euro </w:t>
      </w:r>
      <w:r w:rsidR="00000000" w:rsidRPr="00000000" w:rsidDel="00000000">
        <w:rPr>
          <w:rtl w:val="0"/>
        </w:rPr>
        <w:t xml:space="preserve">apmērā. Savukārt no 2026. gada 1. janvāra pēc Eiropas Komisijas lēmuma par vidusposma pārskatu pieņemšanas Valsts kanceleja kā atbildīgā iestāde var ierosināt palielināt pieejamo kopējo finansējumu par noteikto elastības finansējuma summu 5 451 545 </w:t>
      </w:r>
      <w:r w:rsidR="00000000" w:rsidRPr="00000000" w:rsidDel="00000000">
        <w:rPr>
          <w:i w:val="1"/>
          <w:rtl w:val="0"/>
        </w:rPr>
        <w:t xml:space="preserve">euro </w:t>
      </w:r>
      <w:r w:rsidR="00000000" w:rsidRPr="00000000" w:rsidDel="00000000">
        <w:rPr>
          <w:rtl w:val="0"/>
        </w:rPr>
        <w:t xml:space="preserve">apmērā, ko veido Eiropas Sociālā fonda Plus finansējums 4 633 811 </w:t>
      </w:r>
      <w:r w:rsidR="00000000" w:rsidRPr="00000000" w:rsidDel="00000000">
        <w:rPr>
          <w:i w:val="1"/>
          <w:rtl w:val="0"/>
        </w:rPr>
        <w:t xml:space="preserve">euro </w:t>
      </w:r>
      <w:r w:rsidR="00000000" w:rsidRPr="00000000" w:rsidDel="00000000">
        <w:rPr>
          <w:rtl w:val="0"/>
        </w:rPr>
        <w:t xml:space="preserve">apmērā un valsts budžeta finansējums 817 734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plānotais kopējais finansējums ar elastības finansējumu ir 41 795 178 </w:t>
      </w:r>
      <w:r w:rsidR="00000000" w:rsidRPr="00000000" w:rsidDel="00000000">
        <w:rPr>
          <w:i w:val="1"/>
          <w:rtl w:val="0"/>
        </w:rPr>
        <w:t xml:space="preserve">euro</w:t>
      </w:r>
      <w:r w:rsidR="00000000" w:rsidRPr="00000000" w:rsidDel="00000000">
        <w:rPr>
          <w:rtl w:val="0"/>
        </w:rPr>
        <w:t xml:space="preserve">, ko veido Eiropas Sociālā fonda Plus finansējums 35 525 901 </w:t>
      </w:r>
      <w:r w:rsidR="00000000" w:rsidRPr="00000000" w:rsidDel="00000000">
        <w:rPr>
          <w:i w:val="1"/>
          <w:rtl w:val="0"/>
        </w:rPr>
        <w:t xml:space="preserve">euro </w:t>
      </w:r>
      <w:r w:rsidR="00000000" w:rsidRPr="00000000" w:rsidDel="00000000">
        <w:rPr>
          <w:rtl w:val="0"/>
        </w:rPr>
        <w:t xml:space="preserve">apmērā un valsts budžeta līdzfinansējums 6 269 277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tam deleģēto atbildības jomu un darbību īstenošanai saņem publisko finansējumu saskaņā ar starpresoru vienošanos vai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4.3.6.7. pasākumu īsteno ierobežotas projektu iesniegumu atlases veidā divās projektu iesniegumu atlases kārtās, katrā kārtā iesniedzot pa vienam projektam atbilstoši noteikumu projekta 7. punktā minētajam attiecīgajai kārtai pieejamam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Atbalstāmās darbības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4.3.6.7. pasākumā plānotas šādas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pierādījumos balstītu profilakses un agrīnās intervences programmu bērnu psihoemocionālās un psihosociālās attīstības vajadzību atbalstam licences iegāde, metodiku izstrāde, adaptēšana, aprobēšana un metodiskā vadība ieviešanai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attīstības vajadzību novērtējuma instrumentu sistēmas izveide un pilotēšana;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apmācības, praktiskie treniņi un supervīzijas pedagogiem un citiem darbā ar bērniem iesaistītajiem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agrīnu intervenču pilotēšana un īstenošana bērniem ar psihomotoriem un psihosociāliem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agrīnu intervenču pilotēšana un īstenošana ģimenēm ar agrīnas piesaistes veidošanās riskiem vai zemām vecāku pamatprasmēm;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agrīnu intervenču pilotēšana un īstenošana vecāku un bērnu mijiedarbības stiprināšanai, hiperaktivitātes mazināšanai un uzmanības noturības veicināšanai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agrīnu intervenču pilotēšana un īstenošana bērnu psihoemocionālās un psihosociālās attīstības vajadzību atbalstam, stiprinot bērnu iekļaušanu izglītības vidē un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agrīnu intervenču pilotēšana un īstenošana mācīšanās grūtību, valodas vai runas attīstības vajadzību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multimodālu programmu pilotēšana un īstenošana bērnu attīstības un uzvedības traucējumu veidošanās risku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profilakses un agrīnās intervences pilotēšana un īstenošana zināšanu, prasmju un iemaņu korekcijai pāridarījuma risku mazināšanai izglītības vidē un bērniem ar sociālemocionālām grūtībām, trauksmi, distresu;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izvērtējumi un pētījumi problēmu izplatības noteikšanai, atbalsta pasākumu plānošanai un intervences efektivitātei,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aktivitātes vecāku un speciālistu motivēšanai un informēšanai, kapacitātes stiprināšanas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konsultantu, ekspertu un speciālistu 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izvērtējumu, pētījumu, ekspertīžu un analīzes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informatīvie un izglītojošie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un publicitātes pasākumi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projekta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starp finansējuma saņēmēju un sadarbības partneri(-iem) tiks īstenota, starp iesaistītajām pusēm noslēdzot sadarbības līgumu atbilstoši normatīvajiem aktiem par kārtību, kādā Eiropas Savienības fondu vadībā iesaistītās institūcijas nodrošina Eiropas Savienības fondu ieviešanu 2021.–2027. gada plānošanas periodā. Sadarbības līgumā tiks noteiktas savstarpējās atbildības jomas un pienākumi, kārtība, kādā veicami norēķini ar sadarbības partneri, pārskatu un attiecināmās izmaksas pamatojošo dokumentu sagatavošanas un iesniegšanas kārtība, citi nosacījumi projekta sekmīgai īstenošanai, tai skaitā kārtība, kādā sadarbības partneris atmaksā neatbilstoši veiktos izdevumus, kurus konstatējusi Centrālā finanšu un līgumu aģentūra, un iespējami neatbilstoši veiktos izdevumus, kurus konstatējis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projekta ietvaros attiecināmās izmaksas ir pakārtotas atbalstāmajām darbībām, kas saistītas ar visaptverošas, integrētas, uz indivīda vajadzībām orientētas diagnostikas, profilakses aktivitāšu, konsultatīvās, agrīnās intervences un atbalsta pakalpojumu kopuma īstenošanas bērnu attīstības vajadzību identificēšanai un savlaicīga atbalsta pieejamībai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noteiktas tiešās attiecināmās izmaksas un netiešās attiecināmās izmaksas. Netiešās attiecināmās izmaksas nav tieši saistītas ar projekta mērķu sasniegšanu, bet atbalsta un nodrošina atbilstošus apstākļus projekta veicamo darbību realizācijai un projekta rezultātu sasniegšanai, piemēram, projekta vadības un projekta īstenošanas personāla administratīvās izmaksas, kas paredzētas iestādes ikdienas darbības nodrošināšanai (telpu un iekārtu izmantošanas izmaksas, komunālie un sakaru maksājumi, iestādes vadības un atbalsta struktūrvienību izmaksas u. c.). Projekta vadības un projekta īstenošanas netiešajās attiecināmajās izmaksās var ietilpt: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kancelejas preces, biroja piederumi un biroja aprīkojuma īre vai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telpu noma, komunālie maksājumi un telpu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telekomunikācijas, interneta izmaksas un pasta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IT uzturēšanas izmaksas (piemēram, nepieciešamās licences un programmatūras atjauninājumi);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citas izmaksas atbilstoši 4.3.6.7. pasākuma specifikai, kas nav iekļautas projekta tiešajās attiecināmajās izmaksās, bet ir nepieciešamas projekta rezultātu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Netiešās izmaksas plāno, piemērojot netiešo izmaksu vienoto likmi 15 % apmērā no projekta tiešajām attiecināmajām personāla izmaksām (finansējuma saņēmēja projekta vadības personāla un projekta īstenošanas personāla, kā arī sadarbības partnera projekta īstenošanas personāla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attiecināmas ir ar programmu, pakalpojumu izpētes, izveides, adaptēšanas, pilotēšanas, ieviešanas, izvērtēšanas, skrīningu saistītās izmaksas, tai skaitā pasniedzēju, konsultantu, ekspertu un citu speciālistu atlīdzības izmaksas, kā arī pakalpojumu (uzņēmuma līgumu) izmaksas atbalstāmo darbību īstenošanai, piemēram, izmaksas izvērtējumu veikšanai, pakalpojuma izstrādei, semināru, pieredzes apmaiņas un citu pasākumu organizēšanai un īstenošanai (tai skaitā ar to saistīto materiālu nodrošināšanai, telpu nomai, licenču, kafijas pauzēm u. c.). 4.3.6.7. pasākuma ietvaros attiecināmas ir arī papildu informatīvo un izglītojošo pasākumu īstenošanas izmaksas, piemēram, drukāto un/vai audiovizuālo materiālu, reklāmas vai reprezentatīvo materiālu izgatavošanai un izplatīšanai, informatīvo kampaņu organizēšanai u. 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finansējuma saņēmēja un sadarbības partnera projekta vadības un īstenošanas personāla izmaksu nodrošināšanai tiks piemērota vienkāršoto izmaksu metodika, kuru apstiprinās atbildīgā iestāde pēc Finanšu ministrijas saskaņojuma. Metodika tiks izstrādāta, pamatojoties uz Valsts un pašvaldību institūciju amatpersonu un darbinieku atlīdzības likumā noteiktajām mēnešalgu grupām un intervāliem, vienotu pieeju nodrošinot arī projekta īstenošanas personāla atlīdzības aprēķinā sadarbības partnerim. Metodika tiks piemērota ar atbildīgās iestādes metodikas apstiprināšanas brīdi, bet līdz metodikas apstiprināšanai tiks piemērota personāla izmaksu vienotā likme 20 % apmērā no projekta pārējām tiešajām attiecināmajām īstenošanas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19.1. apakšpunktā minētais projekta vadības un projekta īstenošanas personāls projekta ietvaros nodrošinās projekta administratīvās, organizatoriskās un koordinējošās funkcijas (piemēram, projekta vadītājs, programmu koordinators, grāmatvedis, iepirkumu speciālists, jurists), savukārt noteikumu projekta 19.2.2. apakšpunktā minētie speciālisti būs pakalpojumu sniedzēji/izpildītāji – projektā plānoto darbību īstenotāji, kas tiks piesaistīti, ievērojot noteikumu projekta 27.4. apakšpunktā minēto kārtību – saskaņā ar publiskā iepirkuma procedūru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pieejamo finansējumu izlieto, ievērojot valsts budžeta līdzekļu plānošanas kārtību Eiropas Savienības fondu projektu īstenošanai un maksājumu veikšanai 2021.–2027. gada plānošanas periodā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vecuma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kuru aizgādnībā vai aizbildnībā ir bērni vecumā līdz 18 gadiem; ārstniecības personas; ārstniecības atbalsta personas; pedagogi; atbalsta personāls izglītības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nodrošināti jauni pakalpojumi saistībā ar agrīnu intervenču saņemšanu bērniem un ģimenēm. Noteikumu projekta īstenošanas gaitā tiks uzlabota savlaicīga bērnu attīstības grūtību un risku atpazīšana, un tā rezultātā varēs bērniem nodrošināt mērķētus nepieciešamos agrīnā atbalsta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4.3.6.7. pasākumā tiks uzlabotas arī ģimenes ārstu, pediatru, māsu, pedagogu, psihologu, logopēdu, audiologopēdu, speciālo pedagogu un citu speciālistu zināšanas, prasmes un kompetences bērnu attīstības grūtību savlaicīgai atpazīšanai un nepieciešamā atbalsta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Ārstniecības iestādes; vispārējās izglītības iestādes; 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izstrādāti, adaptēti un pilotēti jauni pakalpojumi saistībā ar agrīnu intervenču saņemšanu bērniem un ģimenēm. Tiks apmācīti speciālisti un sniegts metodiskais atbalsts jauno pakalpojumu pieejamībai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675 901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6 800 000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675 901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6 375 000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6 800 000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795 178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795 178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-119 277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-119 277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-119 277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-119 227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kopējais attiecināmais finansējums, lai slēgtu vienošanos par projektu īstenošanu, ir 36 343 633 </w:t>
            </w:r>
            <w:r w:rsidR="00000000" w:rsidRPr="00000000" w:rsidDel="00000000">
              <w:rPr>
                <w:sz w:val="24"/>
                <w:i w:val="1"/>
                <w:rtl w:val="0"/>
              </w:rPr>
              <w:t xml:space="preserve">euro</w:t>
            </w:r>
            <w:r w:rsidR="00000000" w:rsidRPr="00000000" w:rsidDel="00000000">
              <w:rPr>
                <w:sz w:val="24"/>
                <w:rtl w:val="0"/>
              </w:rPr>
              <w:t xml:space="preserve">, ko veido Eiropas Sociālā fonda Plus finansējums 30 892 088 </w:t>
            </w:r>
            <w:r w:rsidR="00000000" w:rsidRPr="00000000" w:rsidDel="00000000">
              <w:rPr>
                <w:sz w:val="24"/>
                <w:i w:val="1"/>
                <w:rtl w:val="0"/>
              </w:rPr>
              <w:t xml:space="preserve">euro </w:t>
            </w:r>
            <w:r w:rsidR="00000000" w:rsidRPr="00000000" w:rsidDel="00000000">
              <w:rPr>
                <w:sz w:val="24"/>
                <w:rtl w:val="0"/>
              </w:rPr>
              <w:t xml:space="preserve">apmērā un valsts budžeta līdzfinansējums 5 451 545 </w:t>
            </w:r>
            <w:r w:rsidR="00000000" w:rsidRPr="00000000" w:rsidDel="00000000">
              <w:rPr>
                <w:sz w:val="24"/>
                <w:i w:val="1"/>
                <w:rtl w:val="0"/>
              </w:rPr>
              <w:t xml:space="preserve">euro </w:t>
            </w:r>
            <w:r w:rsidR="00000000" w:rsidRPr="00000000" w:rsidDel="00000000">
              <w:rPr>
                <w:sz w:val="24"/>
                <w:rtl w:val="0"/>
              </w:rPr>
              <w:t xml:space="preserve">apmērā. Savukārt no 2026. gada 1. janvāra pēc Eiropas Komisijas lēmuma par vidusposma pārskatu pieņemšanas Valsts kanceleja kā atbildīgā iestāde var ierosināt palielināt pieejamo kopējo finansējumu par noteikto elastības finansējuma summu 5 451 545 </w:t>
            </w:r>
            <w:r w:rsidR="00000000" w:rsidRPr="00000000" w:rsidDel="00000000">
              <w:rPr>
                <w:sz w:val="24"/>
                <w:i w:val="1"/>
                <w:rtl w:val="0"/>
              </w:rPr>
              <w:t xml:space="preserve">euro </w:t>
            </w:r>
            <w:r w:rsidR="00000000" w:rsidRPr="00000000" w:rsidDel="00000000">
              <w:rPr>
                <w:sz w:val="24"/>
                <w:rtl w:val="0"/>
              </w:rPr>
              <w:t xml:space="preserve">apmērā, ko veido Eiropas Sociālā fonda Plus finansējums 4 633 811 </w:t>
            </w:r>
            <w:r w:rsidR="00000000" w:rsidRPr="00000000" w:rsidDel="00000000">
              <w:rPr>
                <w:sz w:val="24"/>
                <w:i w:val="1"/>
                <w:rtl w:val="0"/>
              </w:rPr>
              <w:t xml:space="preserve">euro </w:t>
            </w:r>
            <w:r w:rsidR="00000000" w:rsidRPr="00000000" w:rsidDel="00000000">
              <w:rPr>
                <w:sz w:val="24"/>
                <w:rtl w:val="0"/>
              </w:rPr>
              <w:t xml:space="preserve">apmērā un valsts budžeta finansējums 817 734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Pasākumam plānotais kopējais finansējums ar elastības finansējumu ir 41 795 178 </w:t>
            </w:r>
            <w:r w:rsidR="00000000" w:rsidRPr="00000000" w:rsidDel="00000000">
              <w:rPr>
                <w:sz w:val="24"/>
                <w:i w:val="1"/>
                <w:rtl w:val="0"/>
              </w:rPr>
              <w:t xml:space="preserve">euro</w:t>
            </w:r>
            <w:r w:rsidR="00000000" w:rsidRPr="00000000" w:rsidDel="00000000">
              <w:rPr>
                <w:sz w:val="24"/>
                <w:rtl w:val="0"/>
              </w:rPr>
              <w:t xml:space="preserve">, ko veido Eiropas Sociālā fonda Plus finansējums 35 525 901 </w:t>
            </w:r>
            <w:r w:rsidR="00000000" w:rsidRPr="00000000" w:rsidDel="00000000">
              <w:rPr>
                <w:sz w:val="24"/>
                <w:i w:val="1"/>
                <w:rtl w:val="0"/>
              </w:rPr>
              <w:t xml:space="preserve">euro </w:t>
            </w:r>
            <w:r w:rsidR="00000000" w:rsidRPr="00000000" w:rsidDel="00000000">
              <w:rPr>
                <w:sz w:val="24"/>
                <w:rtl w:val="0"/>
              </w:rPr>
              <w:t xml:space="preserve">apmērā un valsts budžeta līdzfinansējums 6 269 277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Eiropas Sociālā fonda Plus daļa 85 % apmērā no projekta attiecināmām izmaksām. Budžeta izdevumi ir kopējie projekta ieviešanai nepieciešamie publiskā finansējuma (Eiropas Sociālā fonda Plus un valsts budžeta) līdzekļi 100 % apmērā no projekta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plānots ieviest no 2023. gada IV ceturkšņa līdz 2029. gada 31. decembrim. Pirmajā ieviešanas gadā plānots mazāks finansējums (indikatīvi 2 % no kopējā finansējuma), jo projekta īstenošana tiks uzsākta tikai pēdējā ceturksnī, turpmākajos gados finansējumu pakāpeniski plānots palielināt, bet pēdējos divos gados atkal pamazām samazināt.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Indikatīvais finansējuma sadalījums pa gadiem (var tikt precizēts pēc pasākuma projekta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gads: kopējais finansējums ir 795 178 </w:t>
            </w:r>
            <w:r w:rsidR="00000000" w:rsidRPr="00000000" w:rsidDel="00000000">
              <w:rPr>
                <w:sz w:val="24"/>
                <w:i w:val="1"/>
                <w:rtl w:val="0"/>
              </w:rPr>
              <w:t xml:space="preserve">euro</w:t>
            </w:r>
            <w:r w:rsidR="00000000" w:rsidRPr="00000000" w:rsidDel="00000000">
              <w:rPr>
                <w:sz w:val="24"/>
                <w:rtl w:val="0"/>
              </w:rPr>
              <w:t xml:space="preserve">, no tā Eiropas Sociālā fonda Plus finansējums – 675 901 </w:t>
            </w:r>
            <w:r w:rsidR="00000000" w:rsidRPr="00000000" w:rsidDel="00000000">
              <w:rPr>
                <w:sz w:val="24"/>
                <w:i w:val="1"/>
                <w:rtl w:val="0"/>
              </w:rPr>
              <w:t xml:space="preserve">euro</w:t>
            </w:r>
            <w:r w:rsidR="00000000" w:rsidRPr="00000000" w:rsidDel="00000000">
              <w:rPr>
                <w:sz w:val="24"/>
                <w:rtl w:val="0"/>
              </w:rPr>
              <w:t xml:space="preserve">, valsts budžeta līdzfinansējums – 119 277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 kopējais finansējums ir 5 000 000 </w:t>
            </w:r>
            <w:r w:rsidR="00000000" w:rsidRPr="00000000" w:rsidDel="00000000">
              <w:rPr>
                <w:sz w:val="24"/>
                <w:i w:val="1"/>
                <w:rtl w:val="0"/>
              </w:rPr>
              <w:t xml:space="preserve">euro</w:t>
            </w:r>
            <w:r w:rsidR="00000000" w:rsidRPr="00000000" w:rsidDel="00000000">
              <w:rPr>
                <w:sz w:val="24"/>
                <w:rtl w:val="0"/>
              </w:rPr>
              <w:t xml:space="preserve">, no tā Eiropas Sociālā fonda Plus finansējums – 4 250 000 </w:t>
            </w:r>
            <w:r w:rsidR="00000000" w:rsidRPr="00000000" w:rsidDel="00000000">
              <w:rPr>
                <w:sz w:val="24"/>
                <w:i w:val="1"/>
                <w:rtl w:val="0"/>
              </w:rPr>
              <w:t xml:space="preserve">euro</w:t>
            </w:r>
            <w:r w:rsidR="00000000" w:rsidRPr="00000000" w:rsidDel="00000000">
              <w:rPr>
                <w:sz w:val="24"/>
                <w:rtl w:val="0"/>
              </w:rPr>
              <w:t xml:space="preserve">, valsts budžeta līdzfinansējums – 750 000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 kopējais finansējums ir 7 500 000 </w:t>
            </w:r>
            <w:r w:rsidR="00000000" w:rsidRPr="00000000" w:rsidDel="00000000">
              <w:rPr>
                <w:sz w:val="24"/>
                <w:i w:val="1"/>
                <w:rtl w:val="0"/>
              </w:rPr>
              <w:t xml:space="preserve">euro</w:t>
            </w:r>
            <w:r w:rsidR="00000000" w:rsidRPr="00000000" w:rsidDel="00000000">
              <w:rPr>
                <w:sz w:val="24"/>
                <w:rtl w:val="0"/>
              </w:rPr>
              <w:t xml:space="preserve">, no tā Eiropas Sociālā fonda Plus finansējums – 6 375 000 </w:t>
            </w:r>
            <w:r w:rsidR="00000000" w:rsidRPr="00000000" w:rsidDel="00000000">
              <w:rPr>
                <w:sz w:val="24"/>
                <w:i w:val="1"/>
                <w:rtl w:val="0"/>
              </w:rPr>
              <w:t xml:space="preserve">euro</w:t>
            </w:r>
            <w:r w:rsidR="00000000" w:rsidRPr="00000000" w:rsidDel="00000000">
              <w:rPr>
                <w:sz w:val="24"/>
                <w:rtl w:val="0"/>
              </w:rPr>
              <w:t xml:space="preserve">, valsts budžeta līdzfinansējums – 1 125 000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 kopējais finansējums ir 8 000 000 </w:t>
            </w:r>
            <w:r w:rsidR="00000000" w:rsidRPr="00000000" w:rsidDel="00000000">
              <w:rPr>
                <w:sz w:val="24"/>
                <w:i w:val="1"/>
                <w:rtl w:val="0"/>
              </w:rPr>
              <w:t xml:space="preserve">euro</w:t>
            </w:r>
            <w:r w:rsidR="00000000" w:rsidRPr="00000000" w:rsidDel="00000000">
              <w:rPr>
                <w:sz w:val="24"/>
                <w:rtl w:val="0"/>
              </w:rPr>
              <w:t xml:space="preserve">, no tā Eiropas Sociālā fonda Plus finansējums – 6 800 000 </w:t>
            </w:r>
            <w:r w:rsidR="00000000" w:rsidRPr="00000000" w:rsidDel="00000000">
              <w:rPr>
                <w:sz w:val="24"/>
                <w:i w:val="1"/>
                <w:rtl w:val="0"/>
              </w:rPr>
              <w:t xml:space="preserve">euro</w:t>
            </w:r>
            <w:r w:rsidR="00000000" w:rsidRPr="00000000" w:rsidDel="00000000">
              <w:rPr>
                <w:sz w:val="24"/>
                <w:rtl w:val="0"/>
              </w:rPr>
              <w:t xml:space="preserve">, valsts budžeta līdzfinansējums – 1 200 000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gads: kopējais finansējums ir 8 000 000 </w:t>
            </w:r>
            <w:r w:rsidR="00000000" w:rsidRPr="00000000" w:rsidDel="00000000">
              <w:rPr>
                <w:sz w:val="24"/>
                <w:i w:val="1"/>
                <w:rtl w:val="0"/>
              </w:rPr>
              <w:t xml:space="preserve">euro </w:t>
            </w:r>
            <w:r w:rsidR="00000000" w:rsidRPr="00000000" w:rsidDel="00000000">
              <w:rPr>
                <w:sz w:val="24"/>
                <w:rtl w:val="0"/>
              </w:rPr>
              <w:t xml:space="preserve">(bez elastības finansējuma – 6 000 000 </w:t>
            </w:r>
            <w:r w:rsidR="00000000" w:rsidRPr="00000000" w:rsidDel="00000000">
              <w:rPr>
                <w:sz w:val="24"/>
                <w:i w:val="1"/>
                <w:rtl w:val="0"/>
              </w:rPr>
              <w:t xml:space="preserve">euro</w:t>
            </w:r>
            <w:r w:rsidR="00000000" w:rsidRPr="00000000" w:rsidDel="00000000">
              <w:rPr>
                <w:sz w:val="24"/>
                <w:rtl w:val="0"/>
              </w:rPr>
              <w:t xml:space="preserve">), no tā Eiropas Sociālā fonda Plus finansējums – 5 100 000 </w:t>
            </w:r>
            <w:r w:rsidR="00000000" w:rsidRPr="00000000" w:rsidDel="00000000">
              <w:rPr>
                <w:sz w:val="24"/>
                <w:i w:val="1"/>
                <w:rtl w:val="0"/>
              </w:rPr>
              <w:t xml:space="preserve">euro</w:t>
            </w:r>
            <w:r w:rsidR="00000000" w:rsidRPr="00000000" w:rsidDel="00000000">
              <w:rPr>
                <w:sz w:val="24"/>
                <w:rtl w:val="0"/>
              </w:rPr>
              <w:t xml:space="preserve">, valsts budžeta līdzfinansējums – 900 000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gads: kopējais finansējums ir 7 500 000 </w:t>
            </w:r>
            <w:r w:rsidR="00000000" w:rsidRPr="00000000" w:rsidDel="00000000">
              <w:rPr>
                <w:sz w:val="24"/>
                <w:i w:val="1"/>
                <w:rtl w:val="0"/>
              </w:rPr>
              <w:t xml:space="preserve">euro  </w:t>
            </w:r>
            <w:r w:rsidR="00000000" w:rsidRPr="00000000" w:rsidDel="00000000">
              <w:rPr>
                <w:sz w:val="24"/>
                <w:rtl w:val="0"/>
              </w:rPr>
              <w:t xml:space="preserve">(bez elastības finansējuma – 5 500 000 </w:t>
            </w:r>
            <w:r w:rsidR="00000000" w:rsidRPr="00000000" w:rsidDel="00000000">
              <w:rPr>
                <w:sz w:val="24"/>
                <w:i w:val="1"/>
                <w:rtl w:val="0"/>
              </w:rPr>
              <w:t xml:space="preserve">euro</w:t>
            </w:r>
            <w:r w:rsidR="00000000" w:rsidRPr="00000000" w:rsidDel="00000000">
              <w:rPr>
                <w:sz w:val="24"/>
                <w:rtl w:val="0"/>
              </w:rPr>
              <w:t xml:space="preserve">), no tā Eiropas Sociālā fonda Plus finansējums  –  4 675 000 </w:t>
            </w:r>
            <w:r w:rsidR="00000000" w:rsidRPr="00000000" w:rsidDel="00000000">
              <w:rPr>
                <w:sz w:val="24"/>
                <w:i w:val="1"/>
                <w:rtl w:val="0"/>
              </w:rPr>
              <w:t xml:space="preserve">euro</w:t>
            </w:r>
            <w:r w:rsidR="00000000" w:rsidRPr="00000000" w:rsidDel="00000000">
              <w:rPr>
                <w:sz w:val="24"/>
                <w:rtl w:val="0"/>
              </w:rPr>
              <w:t xml:space="preserve">, valsts budžeta līdzfinansējums – 825 000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gads: kopējais finansējums ir 5 000 000 </w:t>
            </w:r>
            <w:r w:rsidR="00000000" w:rsidRPr="00000000" w:rsidDel="00000000">
              <w:rPr>
                <w:sz w:val="24"/>
                <w:i w:val="1"/>
                <w:rtl w:val="0"/>
              </w:rPr>
              <w:t xml:space="preserve">euro </w:t>
            </w:r>
            <w:r w:rsidR="00000000" w:rsidRPr="00000000" w:rsidDel="00000000">
              <w:rPr>
                <w:sz w:val="24"/>
                <w:rtl w:val="0"/>
              </w:rPr>
              <w:t xml:space="preserve">(bez elastības finansējuma – 3 548 458 </w:t>
            </w:r>
            <w:r w:rsidR="00000000" w:rsidRPr="00000000" w:rsidDel="00000000">
              <w:rPr>
                <w:sz w:val="24"/>
                <w:i w:val="1"/>
                <w:rtl w:val="0"/>
              </w:rPr>
              <w:t xml:space="preserve">euro</w:t>
            </w:r>
            <w:r w:rsidR="00000000" w:rsidRPr="00000000" w:rsidDel="00000000">
              <w:rPr>
                <w:sz w:val="24"/>
                <w:rtl w:val="0"/>
              </w:rPr>
              <w:t xml:space="preserve">), no tā Eiropas Sociālā fonda Plus finansējums – 3 016 189 </w:t>
            </w:r>
            <w:r w:rsidR="00000000" w:rsidRPr="00000000" w:rsidDel="00000000">
              <w:rPr>
                <w:sz w:val="24"/>
                <w:i w:val="1"/>
                <w:rtl w:val="0"/>
              </w:rPr>
              <w:t xml:space="preserve">euro</w:t>
            </w:r>
            <w:r w:rsidR="00000000" w:rsidRPr="00000000" w:rsidDel="00000000">
              <w:rPr>
                <w:sz w:val="24"/>
                <w:rtl w:val="0"/>
              </w:rPr>
              <w:t xml:space="preserve">, valsts budžeta līdzfinansējums – 532 269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ietekmē amata vietu skaitu, t. i., plānojot projekta īstenošanu, tiks izvērtēta esošo cilvēkresursu kapacitāte, ja nepieciešams, uz projekta darbības laiku piesaistot personālu uz darba līguma pamata. Projekta vadības un īstenošanas personāls tiks finansēts no projekta līdzekļiem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tiks ieviestas regulas Nr. 2021/1060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2021/1057, ar ko izveido Eiropas Sociālo fondu Plus (ESF+) un atceļ Regulu (ES) Nr. 1296/2013 (turpmāk – regula Nr. 2021/1057)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tiks ieviestas regulas Nr. 2021/1057 prasības, tostarp 9. pantā uzsvērtā partnerības principa ievērošana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27.2. un 27.3.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54. panta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55.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2021/1057, ar ko izveido Eiropas Sociālo fondu Plus (ESF+) un atceļ Regulu (ES) Nr. 1296/2013 (turpmāk – regula Nr. 2021/1057)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2021/1057 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un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2021/1057 36.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17.15. un 17.16.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uz sabiedrības līdzdalības rezultātiem – …links…..…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projekta vērtēšanas kritēriji tika saskaņoti Eiropas Savienības struktūrfondu un Kohēzijas fonda 2021.–2027. gada plānošanas perioda Uzraudzības komitejas apakškomitejas …….. sēdē, kuras sastāvā ir iekļauti arī sociālie, nevalstiskā sektora un reģionālie partneri, un apstiprināti ar … Eiropas Savienības struktūrfondu un Kohēzijas fonda Uzraudzības komitejas lēmumu Nr.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4.3.6.7. pasākums sniegs pozitīvu ietekmi uz publisko pakalpojumu attīstību, jo tā rezultātā tiks attīstīti jauni profilakses un agrīnās intervences pakalpojumi atbalsta sniegšanai bērniem ar attīstības riskiem un grūtībām kā novērtēšanas instrumenti attīstības grūtību savlaicīgai atpazīšanai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sniegs ieguldījumu Nacionālā attīstības plāna 2021.–2027. gadam rīcības virziena "Psiholoģiskā un emocionālā labklājība" 85. uzdevuma "Atbalsts vecāku prasmju pilnveidošanai, uzlabojot bērnu un jauniešu psiholoģisko un emocionālo labklājību un mazinot psihiskās veselības un mācīšanās traucējumu veidošanās riskus nākotnē", 87. uzdevuma "Vardarbības profilakse, t. sk. mazinot mobingu jauniešu vidū, un savlaicīga intervence dažādās krīzes situācijās, stiprinot cilvēku psiholoģisko un emocionālo noturību un spēju rast labvēlīgu risinājumu" un 89. uzdevuma, kas paredz vienlīdzīgu iespēju radīšanu bērniem un jauniešiem ar speciālām vajadzībām, stiprinot iekļaujošu izglītību, kā arī sociālo un veselības aprūpes pakalpojumu sniedzēju iesaisti un sadarbības koordināciju pakalpojumu pieejamības nodrošināšanai, īstenošanā. Projektam ir pozitīva ietekme uz NAP2027 rādītājiem, kuri to atspoguļo bērnu un jauniešu ar speciālām vajadzībām īpatsvaru, kuri turpina izglītību pēc obligātās izglītības iegūšanas (79. rādītājs prioritātē "Stipras ģimenes, veseli un aktīvi cilvēki", rīcības virziens "Psiholoģiskā un emocionālā labklājība", 177. rādītājs prioritātē "Zināšanas un prasmes personības un valsts izaugsmei", rīcības virziens "Kvalitatīva, pieejama iekļaujoša izglītība")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plānotie uzlabojumi un jaunu agrīnā atbalsta pakalpojumu klāsta attīstīšana pozitīvi ietekmēs arī bērnu ar invaliditāti situāciju, sekmējot viņu vienlīdzīgas iespējas un tiesības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rezultāti var ietekmēt attiecīgo jomu, bet nav tieši mērķēti uz dzimumu līdztiesības jautājumu risināšanu. Noteikumu projekta ietvaros tiks nodrošināta vispārīga horizontālā principa ievērošana, kas veicina dzimumu līdztiesību, piemēram, nodrošinot dzimumu līdztiesības aspekta integrēšanu caur izveidotajiem pakalpojumu pieejamību, semināru vai apmācību saturu. Projekta pasākumi tiks īstenoti, ievērojot nediskriminācijas principus, tai skaitā nodrošinot vienlīdzīgu pieeju kvalifikācijas celšanas un apmācību pasākumiem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uzlabos ārstniecības personu (ģimenes ārstu un pediatru) spēju laikus atpazīt bērna agrīnās attīstības riskus un grūtības, īpaši tās, kas saistītas ar sociālemocionālo, uzvedības, kognitīvo un mācīšanās attīstības jomu, tādējādi nodrošinot iespēju proaktīvi reaģēt un sniegt atbalstu identificētu risku gaidījumā un līdz ar to uzlabojot bērna veselību, attīstības trajektoriju un nākotnes izredzes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vērsts uz bērna labāko interešu nodrošināšanu, jo paredz uzlabojumus primāri veselības un izglītības jomās, lai speciālisti laikus atpazītu bērnu attīstības riskus un grūtības un, paplašinot agrīna atbalsta pakalpojumu klāstu, laikus reaģētu, kad tas nepieciešams. Pasākums sekmēs bērnu veselību, attīstības trajektorijas un nākotnes izredžu uzlabošanu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ietekme uz horizontālo principu "Vienlīdzība, iekļaušana, nediskriminācija un pamattiesību ievērošana". Pasākuma projekta iesnieguma vērtēšanas kritēriji iekļauj specifisko atbilstības kritēriju, kura ietvaros projekta iesniedzējam ir jāsniedz informācija par šā horizontālā principa ievērošanu, paredzot specifiskas darbības, kas veicina vienlīdzību, iekļaušanu, nediskrimināciju un pamattiesību ievērošanu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23-TA-1102</w:t>
    </w:r>
    <w:r>
      <w:br/>
    </w:r>
    <w:r w:rsidR="00000000" w:rsidRPr="00000000" w:rsidDel="00000000">
      <w:rPr>
        <w:rtl w:val="0"/>
      </w:rPr>
      <w:t xml:space="preserve">Izdrukāts 29.07.2026. 23.58 - 1.0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23-TA-1102</w:t>
    </w:r>
    <w:r>
      <w:br/>
    </w:r>
    <w:r w:rsidR="00000000" w:rsidRPr="00000000" w:rsidDel="00000000">
      <w:rPr>
        <w:rtl w:val="0"/>
      </w:rPr>
      <w:t xml:space="preserve">Izdrukāts 29.07.2026. 23.58 - 1.0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anotācija_(ex_ante)_23-TA-1102.docx</dc:title>
</cp:coreProperties>
</file>

<file path=docProps/custom.xml><?xml version="1.0" encoding="utf-8"?>
<Properties xmlns="http://schemas.openxmlformats.org/officeDocument/2006/custom-properties" xmlns:vt="http://schemas.openxmlformats.org/officeDocument/2006/docPropsVTypes"/>
</file>