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"Datu vākšana un apstrāde zivsaimniecības pārvaldības un zinātniskiem mērķiem""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"Datu vākšana un apstrāde zivsaimniecības pārvaldības un zinātniskiem mērķiem""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2013. gada 11. decembra Regulu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2017. gada 17. maija Regulu (ES) 2017/1004, par Savienības sistēmas izveidi datu vākšanai, pārvaldībai un izmantošanai zivsaimniecības nozarē un par atbalstu zinātniskā ieteikuma izstrādei saistībā ar kopējo zivsaimniecības politiku, un ar ko atceļ Padomes Regulu (EK) Nr. 199/2008 (turpmāk – regula 2017/1004).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sākās jaunais 2021.–2027. gada Eiropas Jūrlietu, zvejniecības un akvakultūras fonda (turpmāk – EJZAF) plānošanas periods, ko regulē regulas 2021/1139, 2021/1060 un 2022/79. Noteikumu projekta mērķis ir noteikt kārtību, kādā piešķir valsts un Eiropas Savienības atbalstu pasākumā "Datu vākšana un apstrāde zivsaimniecības pārvaldības un zinātniskiem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 Noteikumu projekts paredz atbalstu bioloģisko, vides, tehnisko un sociālekonomisko datu vākšanai, pārvaldībai, izmantošanai un apstrādei zivsaimniecības nozarē, kā arī zvejniecības un akvakultūras pētniecības un inovācijas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"Datu vākšana un apstrāde zivsaimniecības pārvaldības un zinātniskiem mērķiem"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regulas nosaka vispārējos principus, kuri ietverami Rīcības programmās, un tās savukārt tiek apstiprinātas Eiropas Komisijā. Vienkāršošanas princips, kas ieviests ar 2021. gadu, dalībvalstīm dod rīcības brīvību tiktāl, cik tas regulās nav noteikts kā aizliegums vai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atbalsta pasākumu ieviešanas kārtība, institūcijas, kas pieņem lēmumus un kritēriji ir noteikti normatīvajos aktos par valsts un Eiropas Savienības atbalsta piešķiršanu, administrēšanu un uzraudzību zivsaimniecības attīstībai 2021.–2027. gada plānošanas periodā. Viena no pamatsastāvdaļām ir Uzraudzības komiteja, kas izveidota, lai pieņemtu ar atbalstiem saistītus lēmumus. Uzraudzības komitejas pieņemtie lēmumi, kā arī apstiprinātie projektu atlases kritēriji atbalsta pasākumiem aplūkojami šeit:  https://www.zm.gov.lv/public/ck/files/08102021_Protokols_9_3_20e_2_UK_2021.pdf.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2021/1139 12. pants attiecas uz dalītā pārvaldībā īstenotu EJZAF atbalsta attiecināmību. Dalītā pārvaldība nozīmē, ka par konkrētas programmas īstenošanu atbild gan Eiropas Komisija, gan dalībvalstu iestādes, kā ministrijas un publiskā sektora iestādes. Tāpēc ir sagatavota un Eiropas Komisijā iesniegta apstiprināšanai Zivsaimniecības rīcības programma 2012.–2027. gadam, kura atbilst visiem pārējiem saistošiem Eiropas Savienības tiesību aktiem un politikas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sēdes protokollēmumā 2021-MK.PROT-51#83 "Informatīvais ziņojums "Par Rīcības programmu zivsaimniecības attīstībai 2021.–2027. gadam" noteikts pienākumu izstrādāt tiesību akta projektus. Zemkopības ministrija ir neformāli saskaņojusi un formāli iesniegusi Zivsaimniecības rīcības programmu Eiropas Komisijai apstiprināšanai pēc Partnerības līguma iesniegšanas, par kura virzību atbildīga ir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zinātniskais institūts, kas īsteno zivsaimniecības nozarei, zinātniskajai darbībai un valsts monitoringa vajadzībām nepieciešamo datu vākšanas programmu izpildi zivsaimniecības jomā – Pārtikas drošības, dzīvnieku veselības un vides zinātniskais institūts "BIOR"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minēto juridisko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zinātniskais institūts, kas īsteno zivsaimniecības nozarei, zinātniskajai darbībai un valsts monitoringa vajadzībām nepieciešamo datu vākšanas programmu izpildi zivsaimniecības jomā – Pārtikas drošības, dzīvnieku veselības un vides zinātniskais institūts "BIOR"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 ņemot vērā EJZF ieviešanas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un pārskatu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Eiropas Jūrlietu un zivsaimniecības fonda ieviešanas pieredzi, uz atbalstu pieteiksies Pārtikas drošības, dzīvnieku veselības un vides zinātniskā institūts "BIOR". Administratīvās izmaksas veido iesnieguma aizpildīšana, attiecīgās informācijas sagatavošana un dokumentu iesniegšana.  
Lauku atbalsta dienesta administratīvās izmaksas veidojas par uzaicinājuma teksta sagatavošanu saistībā ar projekta iesnieguma pieņemšanu, projekta iesnieguma un tālākās informācijas pieņemšanu, apstrādi un uzglabāšanu. Aptuvenās izmaksas: informācijas pieņemšana un apstrāde – C = (f x l) x (n x b) = (13,02 x 2) x (1 x 4) = 104,16 euro. Informācijas uzglabāšana neradīs papildu administratīvo slogu. Tādējādi kopējās administratīvās izmaksas ir prognozējamas ap 305,28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1 611 280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2 301 829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-690 549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pasākumā "Datu vākšana un apstrāde zivsaimniecības pārvaldības un zinātniskiem mērķiem" līdz 2029. gadam kopējais pieejamais finansējums ir 16 112 800 </w:t>
            </w:r>
            <w:r w:rsidR="00000000" w:rsidRPr="00000000" w:rsidDel="00000000">
              <w:rPr>
                <w:sz w:val="24"/>
                <w:i w:val="1"/>
                <w:rtl w:val="0"/>
              </w:rPr>
              <w:t xml:space="preserve">euro</w:t>
            </w:r>
            <w:r w:rsidR="00000000" w:rsidRPr="00000000" w:rsidDel="00000000">
              <w:rPr>
                <w:sz w:val="24"/>
                <w:rtl w:val="0"/>
              </w:rPr>
              <w:t xml:space="preserve">, t.sk. EJZAF finansējums (70 %) 11 278 960 </w:t>
            </w:r>
            <w:r w:rsidR="00000000" w:rsidRPr="00000000" w:rsidDel="00000000">
              <w:rPr>
                <w:sz w:val="24"/>
                <w:i w:val="1"/>
                <w:rtl w:val="0"/>
              </w:rPr>
              <w:t xml:space="preserve">euro</w:t>
            </w:r>
            <w:r w:rsidR="00000000" w:rsidRPr="00000000" w:rsidDel="00000000">
              <w:rPr>
                <w:sz w:val="24"/>
                <w:rtl w:val="0"/>
              </w:rPr>
              <w:t xml:space="preserve"> un valsts budžeta finansējums (30%) 4 833 840 </w:t>
            </w:r>
            <w:r w:rsidR="00000000" w:rsidRPr="00000000" w:rsidDel="00000000">
              <w:rPr>
                <w:sz w:val="24"/>
                <w:i w:val="1"/>
                <w:rtl w:val="0"/>
              </w:rPr>
              <w:t xml:space="preserve">euro</w:t>
            </w:r>
            <w:r w:rsidR="00000000" w:rsidRPr="00000000" w:rsidDel="00000000">
              <w:rPr>
                <w:sz w:val="24"/>
                <w:rtl w:val="0"/>
              </w:rPr>
              <w:t xml:space="preserve">, ko plānots sadalīt vienādās daļās pa visiem septiņiem uz atbalstu attiecināmajiem gadiem. Pasākums paredzēts, lai īstenotu 1. prioritātes "Veicināt ilgtspējīgu zvejniecību un ūdens bioloģisko resursu atjaunošanu un saglabāšanu" mērķi - veicināt uzticamus datus, lai varētu pieņemt zināšanās balstītus lēmumus.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17. maija Regulu (ES) 2017/1004, par Savienības sistēmas izveidi datu vākšanai, pārvaldībai un izmantošanai zivsaimniecības nozarē un par atbalstu zinātniskā ieteikuma izstrādei saistībā ar kopējo zivsaimniecības politiku, un ar ko atceļ Padomes Regulu (EK) Nr. 199/2008 (turpmāk – regula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14.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1380/2013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1380/2013 25.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Nr. 1380/2013 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17. maija Regulu (ES) 2017/1004, par Savienības sistēmas izveidi datu vākšanai, pārvaldībai un izmantošanai zivsaimniecības nozarē un par atbalstu zinātniskā ieteikuma izstrādei saistībā ar kopējo zivsaimniecības politiku, un ar ko atceļ Padomes Regulu (EK) Nr. 199/2008 (turpmāk – regula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2017/1004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2017/1004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https://vktap.mk.gov.lv/public_participations/public_discussions/78ec0e26-e221-413f-a7de-439037992a47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noteikumu projekts un tā anotācija no 2022. gada 22. augusta līdz 5. septembrim bija pieejami sabiedriskajai apspriešanai Vienotajā tiesību aktu projektu izstrādes un saskaņošanas portālā. Iebildumi un priekšlikumi no sabiedrības iepriekš minētajā laikposmā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22-TA-2228</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22-TA-2228</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anotācija_(ex_ante)_22-TA-2228.docx</dc:title>
</cp:coreProperties>
</file>

<file path=docProps/custom.xml><?xml version="1.0" encoding="utf-8"?>
<Properties xmlns="http://schemas.openxmlformats.org/officeDocument/2006/custom-properties" xmlns:vt="http://schemas.openxmlformats.org/officeDocument/2006/docPropsVTypes"/>
</file>