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635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7. novembra noteikumos Nr. 635 "Elektroenerģijas tirdzniecības un lietošanas noteikumi"" (turpmāk - projekts) ir izstrādāts pēc Klimata un enerģētikas ministrijas iniciatīvas, lai pārņemtu Eiropas Savienības (turpmāk - ES) direktīvu nosacījumus, kā arī risinātu konstatētās spēkā esošā regulējuma nepilnības, tādējādi uzlabojot elektroenerģijas tirgus turpmāko darbību ar projektu aptvertajās jomās. Ar projektu arī tiek izpildīti vairāki tiesību aktu izstrādes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ETL pārejas noteikumu 133. punktā noteiktais uzdevums Ministru kabinetam līdz 2025. gada 31. decembrim izdot likuma 20.</w:t>
      </w:r>
      <w:r w:rsidR="00000000" w:rsidRPr="00000000" w:rsidDel="00000000">
        <w:rPr>
          <w:vertAlign w:val="superscript"/>
          <w:rtl w:val="0"/>
        </w:rPr>
        <w:t xml:space="preserve">6</w:t>
      </w:r>
      <w:r w:rsidR="00000000" w:rsidRPr="00000000" w:rsidDel="00000000">
        <w:rPr>
          <w:rtl w:val="0"/>
        </w:rPr>
        <w:t xml:space="preserve"> panta trešajā daļā paredzētos </w:t>
      </w:r>
      <w:r w:rsidR="00000000" w:rsidRPr="00000000" w:rsidDel="00000000">
        <w:rPr>
          <w:b w:val="1"/>
          <w:rtl w:val="0"/>
        </w:rPr>
        <w:t xml:space="preserve">viedo elektroenerģijas komercuzskaites mēraparātu minimālo funkcionālo un tehnisko prasību un uzskaitīto datu pieejamības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ETL pārejas noteikumu 133. punktā noteiktais uzdevums Ministru kabinetam līdz 2025. gada 31. decembrim izdot ETL 32. panta septītajā daļā minētos </w:t>
      </w:r>
      <w:r w:rsidR="00000000" w:rsidRPr="00000000" w:rsidDel="00000000">
        <w:rPr>
          <w:b w:val="1"/>
          <w:rtl w:val="0"/>
        </w:rPr>
        <w:t xml:space="preserve">elektroenerģijas pirkuma līgumu</w:t>
      </w:r>
      <w:r w:rsidR="00000000" w:rsidRPr="00000000" w:rsidDel="00000000">
        <w:rPr>
          <w:rtl w:val="0"/>
        </w:rPr>
        <w:t xml:space="preserve"> slēgšanas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daļēji tiek izpildīts MK 2025. gada 20. maija sēdes protokola Nr.20 39.§ 3.punktā dotais uzdevums izstrādāt nepieciešamos tiesību aktus </w:t>
      </w:r>
      <w:r w:rsidR="00000000" w:rsidRPr="00000000" w:rsidDel="00000000">
        <w:rPr>
          <w:b w:val="1"/>
          <w:rtl w:val="0"/>
        </w:rPr>
        <w:t xml:space="preserve">ES direktīvas Nr. 2024/1711 transponēšanai </w:t>
      </w:r>
      <w:r w:rsidR="00000000" w:rsidRPr="00000000" w:rsidDel="00000000">
        <w:rPr>
          <w:rtl w:val="0"/>
        </w:rPr>
        <w:t xml:space="preserve">(pilnībā šis uzdevums tiks izpildīts līdz ar saistītā likumprojekta "Grozījumi Elektroenerģijas tirgus likumā" (25-TA-409) pieņemšanu).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pārņemt ES direktīvas Nr. 2024/1711 un Nr. 2019/944 tiesību normas. Papildus tam tiek noteiktas viedo elektroenerģijas komercuzskaites mēraparātu funkcionālās prasības, noteikts lietotājiem sniedzamās informācijas apjoms, slēdzot elektroenerģijas tirdzniecības līgumus; noteiktas enerģijas kopīgošanas organizatora funkcijas, precizētas normas par elektroenerģijas tirdzniecības līgumu pirmstermiņa izbeigšanas maksas piemērošanu, noteikts elektroenerģijas pirkuma līgumu slēgšanas regulējums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13. jūlijā tika pieņemta </w:t>
      </w:r>
      <w:r w:rsidR="00000000" w:rsidRPr="00000000" w:rsidDel="00000000">
        <w:rPr>
          <w:i w:val="1"/>
          <w:rtl w:val="0"/>
        </w:rPr>
        <w:t xml:space="preserve">Eiropas Parlamenta un Padomes 2024. gada 13. jūnija Direktīva</w:t>
      </w:r>
      <w:r w:rsidR="00000000" w:rsidRPr="00000000" w:rsidDel="00000000">
        <w:rPr>
          <w:i w:val="1"/>
          <w:rtl w:val="0"/>
        </w:rPr>
        <w:t xml:space="preserve"> 2024/1711/ES, ar ko groza Direktīvas 2018/2001/ES un 2019/944/ES attiecībā uz Savienības elektroenerģijas tirgus modeļa uzlabošanu</w:t>
      </w:r>
      <w:r w:rsidR="00000000" w:rsidRPr="00000000" w:rsidDel="00000000">
        <w:rPr>
          <w:rtl w:val="0"/>
        </w:rPr>
        <w:t xml:space="preserve"> (turpmāk - direktīva Nr. 2024/1711). Tās mērķis ir uzlabot Eiropas Savienības elektroenerģijas tirgus modeli, lai tādējādi novērstu pārmērīgi augstu elektroenerģijas cenu risku patērētājiem. Ar šo tiesību aktu tiek galvenokārt veikti grozījumi </w:t>
      </w:r>
      <w:r w:rsidR="00000000" w:rsidRPr="00000000" w:rsidDel="00000000">
        <w:rPr>
          <w:i w:val="1"/>
          <w:rtl w:val="0"/>
        </w:rPr>
        <w:t xml:space="preserve">Eiropas Parlamenta un Padomes 2019. gada 5. jūnija Direktīvā</w:t>
      </w:r>
      <w:r w:rsidR="00000000" w:rsidRPr="00000000" w:rsidDel="00000000">
        <w:rPr>
          <w:i w:val="1"/>
          <w:rtl w:val="0"/>
        </w:rPr>
        <w:t xml:space="preserve"> 2019/944/ES par kopīgiem noteikumiem attiecībā uz elektroenerģijas iekšējo tirgu un ar ko groza Direktīvu 2012/27/ES</w:t>
      </w:r>
      <w:r w:rsidR="00000000" w:rsidRPr="00000000" w:rsidDel="00000000">
        <w:rPr>
          <w:rtl w:val="0"/>
        </w:rPr>
        <w:t xml:space="preserve"> (turpmāk - direktīva Nr. 2019/944), ar kuru tika atjaunots elektroenerģijas iekšējā tirgus ietvars.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2024/1711 paredz vairākas tiesību normas, kas Latvijas tiesību aktos jau ir pārņemtas vai faktiski tiek piemērotas, kā arī vairākas tiesību normas, kas ir pārņemtas ar grozījumiem ETL.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Latvijas tiesību aktos līdz šim nav pārņemtas direktīvā Nr. 2019/944 paredzētas tiesību normas, kas skar viedo komercuzskaites mēraparātu funkcionalitāti. Esošajā regulējumā arī iztrūkst tiesību normas, kas izriet no direktīvā Nr. 2019/944 paredzētā regulējuma par termiņu, kādā sistēmas operatoram no 2026. gada jānodrošina elektroenerģijas tirgotāja maiņa. Šobrīd sistēmas operatoram minētā maiņa jānodrošina 14 dienu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Direktīvas Nr. 2019/944 prasību ieviešana</w:t>
      </w:r>
      <w:r w:rsidR="00000000" w:rsidRPr="00000000" w:rsidDel="00000000">
        <w:rPr>
          <w:b w:val="1"/>
          <w:rtl w:val="0"/>
        </w:rPr>
        <w:t xml:space="preserve">Viedie elektroenerģijas komercuzskaites mēraparāti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iesniegtajā likumprojektā "Grozījumi elektroenerģijas tirgus likumā" (Nr. 730/Lp14) ietvertā ETL 20.</w:t>
      </w:r>
      <w:r w:rsidR="00000000" w:rsidRPr="00000000" w:rsidDel="00000000">
        <w:rPr>
          <w:vertAlign w:val="superscript"/>
          <w:rtl w:val="0"/>
        </w:rPr>
        <w:t xml:space="preserve">6</w:t>
      </w:r>
      <w:r w:rsidR="00000000" w:rsidRPr="00000000" w:rsidDel="00000000">
        <w:rPr>
          <w:rtl w:val="0"/>
        </w:rPr>
        <w:t xml:space="preserve"> panta trešā daļa paredz pilnvarojumu Ministru kabinetam noteikt viedo elektroenerģijas komercuzskaites mēraparātu minimālās funkcionālās un tehniskās prasības un uzskaitīto datu pieejamības nosacījumus un kārtību. Minētās prasības izriet no direktīvas Nr. 2019/944 20. pantā minētajām viedo uzskaites sistēmu funkcionalitātes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lietotāju tiesības izbeigt līgumu tirgotāja veiktu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Nr. 2019/944 10. panta 4. punkta izriet tirgotāja pienākums informēt elektroenerģijas lietotājus par elektroenerģijas tirdzniecības līgumā veiktajām izmaiņām - mājsaimniecības lietotājus ne vēlāk kā vienu mēnesi, pārējos lietotājus - ne vēlāk kā divas nedēļas pirms izmaiņu stāšanās spēkā. Šī direktīvas norma nosaka arī to, ka dalībvalstīm jānodrošina lietotāju tiesības brīvi izbeigt līgumus, ja tie nepieņem jaunos līgumiskos nosacījumus vai piegādes cenas korekcijas, par ko tiem ir paziņojis viņu piegādātājs.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Ministru kabineta 2023. gada 7. novembra noteikumi Nr. 635 "Elektroenerģijas tirdzniecības un lietošanas noteikumi" (turpmāk - MK noteikumi Nr. 635) tiek papildināti ar jaunu II</w:t>
      </w:r>
      <w:r w:rsidR="00000000" w:rsidRPr="00000000" w:rsidDel="00000000">
        <w:rPr>
          <w:vertAlign w:val="superscript"/>
          <w:rtl w:val="0"/>
        </w:rPr>
        <w:t xml:space="preserve">1</w:t>
      </w:r>
      <w:r w:rsidR="00000000" w:rsidRPr="00000000" w:rsidDel="00000000">
        <w:rPr>
          <w:rtl w:val="0"/>
        </w:rPr>
        <w:t xml:space="preserve"> nodaļu, kurā atbilstoši direktīvai Nr. 2019/944 tiek noteiktas viedo elektroenerģijas komercuzskaites mēraparātu funkcionālās prasības. Sistēmas operatoram paredzētais pienākums bez papildu maksas nodrošināt komercuzskaites datus standartizētā komunikācijas saskarnē jau šobrīd tiek nodrošināts portālā e-st.lv. Atbilstoši direktīvas Nr. 2019/944 19. panta 6. punktā noteiktajam projekts arī noteic, ka minētās prasības netiek attiecinātas uz viedajiem elektroenerģijas komercuzskaites mēraparātiem, kas pasūtīti pirms 2019. gada 4.jūlija.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papildinātas MK noteikumu Nr. 635 normas, nosakot lietotāja tiesības vienpusēji izbeigt noslēgto elektroenerģijas tirdzniecības līgumu bez līguma pirmstermiņa izbeigšanas maksas piemērošanas, ja tirgotājs ir  vienpusēji veicis būtiskus grozījumus līgumā, tai skaitā grozījumus, kas skar elektroenerģijas cenu, īguma pirmstermiņa izbeigšanas maksu vai līguma darbības termiņu. Regulējums atbilstoši direktīvā Nr. 2019/944 noteiktajam tiek papildināts ar pienākumu tirgotājam savlaicīgi informēt lietotājus par plānotajām līguma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Direktīvas Nr. 2024/1711 prasību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Lietotājiem sniedzamās informācijas apjoms, slēdzot elektroenerģijas tirdzniecības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Nr. 2024/1711 tiek noteikts pienākums elektroenerģijas tirgotājiem pirms līguma slēgšanas informēt lietotājus par līguma būtiskākajiem nosacījumiem un no tiem izrietošajām lietotāja tiesībām. MK noteikumos Nr. 635 līdz šim ir bijis noteikts informācijas apjoms, kāds tirgotājiem ir jāietver savos tirdzniecības līgumu piedāvājumos mājsaimniecību lietotājiem. Tā kā direktīvas normas ir attiecināmas uz visiem elektroenerģijas lietotājiem, nepieciešams veikt attiecīgus grozījumus regulējumā, vienlaikus papildinot to atbilstoši direktīvā Nr. 2024/1711 ietvertās direktīvas Nr. 2019/944 11. panta 1.a punktā paredzētajam informācijas tvērumam. Praksē Latvijas tirgotāji lielāko daļu direktīvā paredzētās informācijas klientiem jau 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Lietotāju tiesības iesaistīties enerģijas kopīgošanā, elastības pakalpojumos vai energoefektivitātes shēmās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aktos līdz šim nebija paredzētas tiesības iesaistīties enerģijas kopīgošanā, elastības pakalpojumos vai energoefektivitātes shēmās tiem lietotājiem, kas ir noslēguši fiksētas elektroenerģijas cenas līgumu. Ņemot vērā, ka ar direktīvu Nr. 2024/1711 dalībvalstīm tiek noteikts pienākums šādu iespēju nodrošināt, nepieciešams papildināt MK noteikumus Nr. 635.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Enerģijas kopīgošanas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2024/1711 nosaka pienākumus, kurus aktīvais lietotājs var deleģēt enerģijas kopīgošanas organizatoram. Vispārējie enerģijas kopīgošanas organizatora darbības nosacījumi tiks noteikti ETL 37.</w:t>
      </w:r>
      <w:r w:rsidR="00000000" w:rsidRPr="00000000" w:rsidDel="00000000">
        <w:rPr>
          <w:vertAlign w:val="superscript"/>
          <w:rtl w:val="0"/>
        </w:rPr>
        <w:t xml:space="preserve">6</w:t>
      </w:r>
      <w:r w:rsidR="00000000" w:rsidRPr="00000000" w:rsidDel="00000000">
        <w:rPr>
          <w:rtl w:val="0"/>
        </w:rPr>
        <w:t xml:space="preserve"> pantā. Attiecīgie grozījumi ETL tiek virzīti vienlaikus ar šo projektu (skatīt sadaļu "Saistītie 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tirgotāja maiņas termiņš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35. panta pirmā daļa noteic, ka elektroenerģijas galalietotājam ir tiesības katra mēneša pirmajā datumā bez ierobežojumiem mainīt elektroenerģijas tirgotāju. Šobrīd ETL nosaka, ka sistēmas operatoram elektroenerģijas tirgotāja maiņa jānodrošina termiņā, kas nepārsniedz 14 dienas. ETL redakcija, kas stāsies spēkā 2026. gada 1.  janvārī, paredz nosacījumu, ka galalietotājam ir tiesības bez ierobežojumiem mainīt elektroenerģijas tirgotāju un agregatoru, savukārt normas, kas nosaka termiņu, kādā sistēmas operatoram ir jānodrošina tirgotājam maiņa, no likuma ir svītrotas, tādējādi minētais termiņš būtu nosakāms MK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2019/944 12. panta 1. punktā noteikts, ka, vēlākais no 2026. gada, dalībvalstīm jānodrošina, ka elektroenerģijas piegādātāju maiņas tehniskais process nav ilgāks par 24 stundām. Attiecīgi MK noteikumos Nr. 635 būtu ar direktīvu saskaņots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lietotāja sūdzību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2024/1711 ietvertais direktīvas Nr. 2019/944 28.a panta 2. punkts noteic pienākumu dalībvalstīm nodrošināt, ka piegādātāji neizbeidz līgumus un neveic lietotāju atslēgšanu tādu iemeslu dēļ, par kuriem lietotāji iesnieguši sūdzību saskaņā ar 10. panta 9. punktu vai uz kuriem attiecas strīdu ārpustiesas izšķiršanas mehānisms saskaņā ar 26. pantu. Šāda sūdzība vai šāda mehānisma izmantošana neietekmē pušu līgumiskās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Fiksētas elektroenerģijas cenas līgumu pirmstermiņa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32.</w:t>
      </w:r>
      <w:r w:rsidR="00000000" w:rsidRPr="00000000" w:rsidDel="00000000">
        <w:rPr>
          <w:vertAlign w:val="superscript"/>
          <w:rtl w:val="0"/>
        </w:rPr>
        <w:t xml:space="preserve">3</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noteic (skatīt saistītajos dokumentos TA lietu 25-TA-409 "Grozījumi Elektroenerģijas tirgus likumā"), ka elektroenerģijas tirgotāji vienpusēji negroza fiksētas elektroenerģijas cenas līgumos tādus nosacījumus, kas būtiski maina galalietotāja tiesības un pienākumus, un neizbeidz šādus līgumus pirms to termiņa beigām, izņemot, kad lietotājs nenorēķinās par elektroenerģiju vai sistēmas operatora pakalpojumiem. Šis nosacījums likumā ietverts, pārņemot direktīvas Nr. 2024/1711 ietvertajā direktīvas Nr.2019/944 11. panta 1. punkta trešās daļas nosacījumus, kas paredz: dalībvalstis nodrošina, ka piegādātāji vienpusēji negroza noteikta laika, nemainīgas cenas elektroenerģijas piegādes līgumu noteikumus un neizbeidz šādus līgumus pirms to termiņa beigām. Projekts paredz atbilstoši precizēt MK noteikumu Nr. 635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direktīvā Nr. 2024/1711 ietvertās direktīvas Nr. 2019/944 11. panta 1.a punkts ir attiecināms uz visiem elektroenerģijas lietotājiem, nevis vienīgi uz mājsaimniecībām, ar projektu tiek svītrots MK noteikumu Nr. 635 30. punkts, pārceļot tajā ietvertās normas uz jauniem punktiem MK noteikumu Nr. 635 IV nodaļā "Elektroenerģijas piegāde". Tiek noteikts, ka pirms elektroenerģijas tirdzniecības līguma noslēgšanas vai pagarināšanas tirgotājs viegli uztveramā veidā skaidri un kodolīgi informē lietotāju par būtiskākajiem līguma nosacījumiem un lietotāja tiesībām. Ar projektu tiek noteikts lietotājiem minimāli sniedzamās informācijas tvērums.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635 tiek papildināti ar jaunu punktu, kas noteic, ka lietotājiem ar fiksētas elektroenerģijas cenas līgumu ir tiesības iesaistīties enerģijas kopīgošanā, elastības pakalpojumos vai energoefektivitātes shēmās.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atbilstoši direktīvā Nr. 2024/1711 noteiktajam, kā arī ETL paredzētajam pilnvarojumam MK noteikumi Nr. 635 tiek papildināti ar pienākumu apjomu, kurus aktīvais lietotājs var uzdot enerģijas kopīgošanas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635 tiek papildināti ar jaunu punktu, kas noteic, ka sistēmas operatoram elektroenerģijas tirgotāja maiņas tehiskais process jānodrošina termiņā, kas darbdienā nepārsniedz 24 stundas. Noteikts arī šīs normas 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tiek papildināts ar jaunu punktu, kas noteic, ka tirgotājs vienpusēji neizbeidz elektroenerģijas tirdzniecības līgumu, ja lietotājs ir iesniedzis tirgotājam izskatīšanai sūdzību par sniegto pakalpojumu kvalitāti vai vērsies regulatorā ar iesniegumu par strīda ārpustiesas izskatīšanu. Minētās sūdzības iesniegšana vai lietotāja vēršanās regulatorā neietekmē pušu tiesības un pienākumus, kas izriet no noslēgtā elektroenerģijas tirdzniecības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regulējums noteica vienotu kārtību tirgotāja rīcībai situācijās, kad lietotājs savlaicīgi nenorēķinās par saņemto elektroenerģiju vai sistēmas operatora pakalpojumiem, nenodalot fiksētas un dinamiskas elektroenerģijas cenas līgumus. Ņemot vērā ETL 32.</w:t>
      </w:r>
      <w:r w:rsidR="00000000" w:rsidRPr="00000000" w:rsidDel="00000000">
        <w:rPr>
          <w:vertAlign w:val="superscript"/>
          <w:rtl w:val="0"/>
        </w:rPr>
        <w:t xml:space="preserve">3</w:t>
      </w:r>
      <w:r w:rsidR="00000000" w:rsidRPr="00000000" w:rsidDel="00000000">
        <w:rPr>
          <w:rtl w:val="0"/>
        </w:rPr>
        <w:t xml:space="preserve"> pantā noteikto, projekts paredz, ka līdzšinējā kārtība turpmāk attieksies uz dinamiskas elektroenerģijas cenas līgumiem, savukārt fiksētas cenas līgumiem tiks noteikta atšķirīga kārtība, nosakot, ka elektroenerģijas piegādi lietotājam varēs pārtraukt situācijās, kad galalietotājs ilgstoši nenorēķināšanās par elektroenerģiju vai sistēmas operatora pakalpojumiem. Regulējumā noteikts, ka tirgotājs ir tiesīgs pieprasīt un sistēmas operatoram ir pienākums atslēgt lietotāja elektroietaises ne agrāk kā pēc 60 kalendāra dienām pēc brīdinājuma nosūtīšanas. Minētais termiņš ir noteikts, ņemot vērā nepieciešamību nodrošināt fiksētas elektroenerģijas cenas līgumu lietotāju aizsardzību pret tirgotāju vienpusēju atkāpšanos no līguma, vienlaikus ievērojot samērīguma principu arī pret tirgotāja interesēm. Analizējot minētā termiņa samērīgumu patērētāju tiesību aizsardzības kontekstā, secināts, ka Patērētāju tiesību aizsardzības likuma 8.</w:t>
      </w:r>
      <w:r w:rsidR="00000000" w:rsidRPr="00000000" w:rsidDel="00000000">
        <w:rPr>
          <w:vertAlign w:val="superscript"/>
          <w:rtl w:val="0"/>
        </w:rPr>
        <w:t xml:space="preserve">1</w:t>
      </w:r>
      <w:r w:rsidR="00000000" w:rsidRPr="00000000" w:rsidDel="00000000">
        <w:rPr>
          <w:rtl w:val="0"/>
        </w:rPr>
        <w:t xml:space="preserve"> panta 18. daļā analogs termiņš ir noteikts kredītņēmēju saistību kavējumu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Maksa par elektroenerģijas tirdzniecības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635 elektroenerģijas tirgotājiem ir tiesības elektroenerģijas tirdzniecības līgumos noteikt līguma pirmstermiņa izbeigšanas maksu. Savukārt MK noteikumu Nr. 635 23. punkts noteic - ja elektroenerģijas tirdzniecības līgumā, kas ar lietotāju noslēgts uz noteiktu laiku, paredzēta maksa par līguma pirmstermiņa izbeigšanu, tā jānosaka proporcionāli elektroenerģijas piegādes laikam līdz līguma pirmstermiņa izbeigšanai, sadalot to vismaz triju mēnešu periodos. Vienlaikus regulējumā nav konkretizēts, kas tiek saprasts ar jēdzienu “proporcionāla maksa”, līdz ar to radot tiesiskos apstākļus tirgus dalībniekiem šo normu piemērot sev labvēlīgi, kā arī noteikt pārmērīgu līguma pirmstermiņa izbeigšanas maksas apmēru. Lai novērstu minētos riskus elektroenerģijas lietotājiem, nepieciešams veikt precizējumus tiesību aktos. Aicinājumu izvērtēt nepieciešamību precizēt minētās tiesību normas Klimata un enerģētikas ministrijai ir paudusi arī Konkurences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par elektroenerģijas tirdzniecības līguma pirmstermiņa izbeigšanas maksas piemērošanu un vienveidīgu, samērīgu normatīvā regulējuma attiecināšanu uz visiem elektroenerģijas lietotājiem, projekts paredz, ka elektroenerģijas tirdzniecības līguma pirmstermiņa izbeigšanas maksa ir jānosaka tādā veidā, lai no līguma spēkā stāšanās brīža maksa par līguma pirmstermiņa izbeigšanu ne retāk kā katrus trīs mēnešus tiktu samazināta proporcionāli elektroenerģijas piegādes laikam līdz līguma pirmstermiņa izbeigšanai. Vienlaikus tiek noteikts, ka maksa par līguma pirmstermiņa izbeigšanu nevar pārsniegt prognozētos tirgotāja ieņēmumus no attiecīgā līguma visā līguma darbības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pirkuma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27. marta grozījumiem ETL likums tika papildināts ar jaunu terminu - elektroenerģijas pirkuma līgums, vienlaikus nosakot tiesības visiem elektroenerģijas galalietotājiem noslēgt ar elektroenerģijas ražotāju elektroenerģijas pirkuma līgumu, tajā skaitā atjaunīgo energoresursu elektroenerģijas pirkuma līgumu. Tā kā šis ir jauns, tiesību aktos līdz šim nedefinēts līguma veids, nepieciešams noteikt pirkuma līgumu slēgšanas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atbilstoši ETL 32. panta septītajā daļā paredzētajam pilnvarojumam tiek noteikti elektroenerģijas pirkuma līgumu slēgšanas nosacījumi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minimālo informācijas apjomu, kas būtu ietverams pirkuma līgumos. Būtiski, ka puses pirkuma līgumā vienojas par balansatbildīgo pusi, kas nodrošina balansatbildību par visiem līguma ietvaros veiktajiem darījumiem. Balansatbildību par līguma ietvaros veiktajiem darījumiem puses var nodrošināt arī vienojoties ar citu balansatbildīgo pusi, kas faktiski ir elektroenerģijas tirgotājs.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līdzsvarotu līgumslēdzēju pušu tiesības un pienākumus, ar projektu tiek noteikts, ka elektroenerģijas ražotājam ir tiesības vienpusēji pārskatīt elektroenerģijas pirkuma līgumā noteikto elektroenerģijas cenu, ja ir notikušas izmaiņas piemērojamajos nodokļos, nodevās un sistēmas operatoru noteiktajās maksās. Tāpat ir ietverts regulējums gadījumiem, kad kāda no līgumslēdzējām pusēm vēlas pārtraukt pirkuma līgumu pirms termiņa beigām, paredzot tādus līguma pirmstermiņa izbeigšanas maksas noteikšanas principus, kas nodrošinātu šādas maksas samērīgumu.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 aktīvie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 elektroenerģijas komercuzskaites mēraparātu funkcionalitātes pilnveidošana sniegs iespēju ikvienam elektroenerģijas lietotājam vai aktīvajam lietotājam iegūt precīzākus datus par no elektrotīkla saņemto vai elektrotīklā nodoto elektroenerģijas apjomu, tādējādi paplašinot iespējas izmantot dažādus viedos elektroenerģijas tirdzniecības risinājumus sava elektroenerģijas patēriņa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pienākums tirgotājiem pirms elektroenerģijas tirdzniecības līgumu noslēgšanas sniegt lietotājiem informāciju par būtiskākajiem līguma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normas, kas saistītas ar maksas piemērošanu par elektroenerģijas tirdzniecības līguma pirmstermiņa izbeigšanu, tādējādi nodrošinot tiesisko skaidrību un novēršot spēkā esošo normu interpretācijas iespējas, līdz ar to radot labvēlīgāku situāciju elektroenerģijas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noteiktas elektroenerģijas lietotāja tiesības vienpusēji izbeigt noslēgto elektroenerģijas tirdzniecības līgumu bez līguma pirmstermiņa izbeigšanas maksas piemērošanas, ja tirgotājs līgumā ir veicis grozījumus. Regulējums arī tiek papildināts ar pienākumu tirgotājam savlaicīgi informēt lietotājus par plānotajām līguma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sistēmas operatoram nodrošināt elektroenerģijas tirgotāja maiņu termiņā, kas nepārsniedz 24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Papildinātas tiesību normas, kas saistītas ar fiksētas cenas elektroenerģijas tirdzniecības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 elektroenerģijas komercuzskaites mēraparātu funkcionalitātes pilnveidošana sniegs iespēju ikvienam elektroenerģijas lietotājam vai aktīvajam lietotājam iegūt precīzākus datus par no elektrotīkla saņemto vai elektrotīklā nodoto elektroenerģijas apjomu, tādējādi paplašinot iespējas izmantot dažādus viedos elektroenerģijas tirdzniecības risinājumus sava elektroenerģijas patēriņa plānošanai.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pienākums tirgotājiem pirms elektroenerģijas tirdzniecības līgumu noslēgšanas sniegt lietotājiem informāciju par būtiskākajiem līguma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normas, kas saistītas ar maksas piemērošanu par elektroenerģijas tirdzniecības līguma pirmstermiņa izbeigšanu, tādējādi nodrošinot tiesisko skaidrību un novēršot spēkā esošo normu interpretācijas iespējas, līdz ar to radot labvēlīgāku situāciju elektroenerģijas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noteiktas viedo elektroenerģijas komercuzskaites mēraparātu minimālās funkcionālās un tehniskās prasības, kas būs jāievēro sadales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noteiktas elektroenerģijas lietotāja tiesības vienpusēji izbeigt noslēgto elektroenerģijas tirdzniecības līgumu bez līguma pirmstermiņa izbeigšanas maksas piemērošanas, ja tirgotājs līgumā ir veicis grozījumus. Regulējums arī tiek papildināts ar pienākumu tirgotājam savlaicīgi informēt lietotājus par plānotajām līguma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sistēmas operatoram nodrošināt elektroenerģijas tirgotāja maiņu termiņā, kas nepārsniedz 24 stundas.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tiesību normas, kas saistītas ar fiksētas cenas elektroenerģijas tirdzniecības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elektroenerģijas tirgus darbības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Direktīva 2024/1711/ES, ar ko groza Direktīvas 2018/2001/ES un 2019/944/ES attiecībā uz Savienības elektroenerģijas tirgus modeļa uzlabošanu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uzlabot integrētā elektroenerģijas tirgus modeli, cita starpā lai novērstu nepamatoti augstas elektroenerģijas cenas. Regulējums skar tos ES elektroenerģijas tirgus aspektus, kurus visefektīvāk ir risināt ar ES līmeņa regulējumu. Direktīvas transponēšanas termiņš ir 2025. gada 17. janvāris.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Direktīva 2019/944/ES par kopīgiem noteikumiem attiecībā uz elektroenerģijas iekšējo tirgu un ar ko groza Direktīvu 2012/27/ES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nacionālajos tiesību aktos direktīvā Nr. 2019/944 paredzēto regulējumu, kas nosaka viedo elektroenerģijas komercuzskaites mēraparātu funkcionalitāti.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Direktīva 2024/1711/ES, ar ko groza Direktīvas 2018/2001/ES un 2019/944/ES attiecībā uz Savienības elektroenerģijas tirgus modeļa uzlabošanu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1.a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w:t>
            </w:r>
            <w:r w:rsidR="00000000" w:rsidRPr="00000000" w:rsidDel="00000000">
              <w:rPr>
                <w:sz w:val="24"/>
                <w:vertAlign w:val="superscript"/>
                <w:rtl w:val="0"/>
              </w:rPr>
              <w:t xml:space="preserve">2</w:t>
            </w:r>
            <w:r w:rsidR="00000000" w:rsidRPr="00000000" w:rsidDel="00000000">
              <w:rPr>
                <w:sz w:val="24"/>
                <w:rtl w:val="0"/>
              </w:rPr>
              <w:t xml:space="preserve"> 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1.a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w:t>
            </w:r>
            <w:r w:rsidR="00000000" w:rsidRPr="00000000" w:rsidDel="00000000">
              <w:rPr>
                <w:sz w:val="24"/>
                <w:vertAlign w:val="superscript"/>
                <w:rtl w:val="0"/>
              </w:rPr>
              <w:t xml:space="preserve">2</w:t>
            </w:r>
            <w:r w:rsidR="00000000" w:rsidRPr="00000000" w:rsidDel="00000000">
              <w:rPr>
                <w:sz w:val="24"/>
                <w:rtl w:val="0"/>
              </w:rPr>
              <w:t xml:space="preserve"> 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1.a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w:t>
            </w:r>
            <w:r w:rsidR="00000000" w:rsidRPr="00000000" w:rsidDel="00000000">
              <w:rPr>
                <w:sz w:val="24"/>
                <w:vertAlign w:val="superscript"/>
                <w:rtl w:val="0"/>
              </w:rPr>
              <w:t xml:space="preserve">2</w:t>
            </w:r>
            <w:r w:rsidR="00000000" w:rsidRPr="00000000" w:rsidDel="00000000">
              <w:rPr>
                <w:sz w:val="24"/>
                <w:rtl w:val="0"/>
              </w:rPr>
              <w:t xml:space="preserve"> 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w:t>
            </w:r>
            <w:r w:rsidR="00000000" w:rsidRPr="00000000" w:rsidDel="00000000">
              <w:rPr>
                <w:sz w:val="24"/>
                <w:vertAlign w:val="superscript"/>
                <w:rtl w:val="0"/>
              </w:rPr>
              <w:t xml:space="preserve">2</w:t>
            </w:r>
            <w:r w:rsidR="00000000" w:rsidRPr="00000000" w:rsidDel="00000000">
              <w:rPr>
                <w:sz w:val="24"/>
                <w:rtl w:val="0"/>
              </w:rPr>
              <w:t xml:space="preserve"> 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punkta c) apakšpunktā ietvertais direktīvas Nr. 2019/944 15.a.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18.</w:t>
            </w:r>
            <w:r w:rsidR="00000000" w:rsidRPr="00000000" w:rsidDel="00000000">
              <w:rPr>
                <w:sz w:val="24"/>
                <w:vertAlign w:val="superscript"/>
                <w:rtl w:val="0"/>
              </w:rPr>
              <w:t xml:space="preserve">26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punkta c) apakšpunktā ietvertais direktīvas Nr. 2019/944 15.a.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18.</w:t>
            </w:r>
            <w:r w:rsidR="00000000" w:rsidRPr="00000000" w:rsidDel="00000000">
              <w:rPr>
                <w:sz w:val="24"/>
                <w:vertAlign w:val="superscript"/>
                <w:rtl w:val="0"/>
              </w:rPr>
              <w:t xml:space="preserve">26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punkta c) apakšpunktā ietvertais direktīvas Nr. 2019/944 15.a.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18.</w:t>
            </w:r>
            <w:r w:rsidR="00000000" w:rsidRPr="00000000" w:rsidDel="00000000">
              <w:rPr>
                <w:sz w:val="24"/>
                <w:vertAlign w:val="superscript"/>
                <w:rtl w:val="0"/>
              </w:rPr>
              <w:t xml:space="preserve">26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punkta c) apakšpunktā ietvertais direktīvas Nr. 2019/944 15.a.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18.</w:t>
            </w:r>
            <w:r w:rsidR="00000000" w:rsidRPr="00000000" w:rsidDel="00000000">
              <w:rPr>
                <w:sz w:val="24"/>
                <w:vertAlign w:val="superscript"/>
                <w:rtl w:val="0"/>
              </w:rPr>
              <w:t xml:space="preserve">26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 punktā ietvertais direktīvas Nr. 2019/944 28.a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26.</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pārņemamās tiesību normas neparedz dalībvalstu rīcības brīvību lemt par noteiktu tiesību akta normu pārņemšanu vai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Direktīva 2019/944/ES par kopīgiem noteikumiem attiecībā uz elektroenerģijas iekšējo tirgu un ar ko groza Direktīvu 2012/27/ES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31.</w:t>
            </w:r>
            <w:r w:rsidR="00000000" w:rsidRPr="00000000" w:rsidDel="00000000">
              <w:rPr>
                <w:sz w:val="24"/>
                <w:vertAlign w:val="superscript"/>
                <w:rtl w:val="0"/>
              </w:rPr>
              <w:t xml:space="preserve">1</w:t>
            </w:r>
            <w:r w:rsidR="00000000" w:rsidRPr="00000000" w:rsidDel="00000000">
              <w:rPr>
                <w:sz w:val="24"/>
                <w:rtl w:val="0"/>
              </w:rPr>
              <w:t xml:space="preserve">, 39.</w:t>
            </w:r>
            <w:r w:rsidR="00000000" w:rsidRPr="00000000" w:rsidDel="00000000">
              <w:rPr>
                <w:sz w:val="24"/>
                <w:vertAlign w:val="superscript"/>
                <w:rtl w:val="0"/>
              </w:rPr>
              <w:t xml:space="preserve">1</w:t>
            </w:r>
            <w:r w:rsidR="00000000" w:rsidRPr="00000000" w:rsidDel="00000000">
              <w:rPr>
                <w:sz w:val="24"/>
                <w:rtl w:val="0"/>
              </w:rPr>
              <w:t xml:space="preserve">, 39.</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125.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12.</w:t>
            </w:r>
            <w:r w:rsidR="00000000" w:rsidRPr="00000000" w:rsidDel="00000000">
              <w:rPr>
                <w:sz w:val="24"/>
                <w:vertAlign w:val="superscript"/>
                <w:rtl w:val="0"/>
              </w:rPr>
              <w:t xml:space="preserve">2</w:t>
            </w:r>
            <w:r w:rsidR="00000000" w:rsidRPr="00000000" w:rsidDel="00000000">
              <w:rPr>
                <w:sz w:val="24"/>
                <w:rtl w:val="0"/>
              </w:rPr>
              <w:t xml:space="preserve"> punkts un 12.</w:t>
            </w:r>
            <w:r w:rsidR="00000000" w:rsidRPr="00000000" w:rsidDel="00000000">
              <w:rPr>
                <w:sz w:val="24"/>
                <w:vertAlign w:val="superscript"/>
                <w:rtl w:val="0"/>
              </w:rPr>
              <w:t xml:space="preserve">4</w:t>
            </w:r>
            <w:r w:rsidR="00000000" w:rsidRPr="00000000" w:rsidDel="00000000">
              <w:rPr>
                <w:sz w:val="24"/>
                <w:rtl w:val="0"/>
              </w:rPr>
              <w:t xml:space="preserve"> punkts; prasība  nodrošināt viedās uzskaites sistēmas precizitāti tiek nodrošināta ar vispārējo normatīvo regulējumu, kas cita starpā nosaka mēraparātu verificēšanas pienākumu.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noteic personas datu vākšanas, glabāšanas, pārvaldīšanas un aizsardzības prasības, ir noteiktas speciālajos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noteic personas datu vākšanas, glabāšanas, pārvaldīšanas un aizsardzības prasības, ir noteiktas speciālajos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12.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12.</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 (noteikumu 12.</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g)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12.</w:t>
            </w:r>
            <w:r w:rsidR="00000000" w:rsidRPr="00000000" w:rsidDel="00000000">
              <w:rPr>
                <w:sz w:val="24"/>
                <w:vertAlign w:val="superscript"/>
                <w:rtl w:val="0"/>
              </w:rPr>
              <w:t xml:space="preserve">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12.</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pārņemamās tiesību normas neparedz dalībvalstu rīcības brīvību lemt par noteiktu tiesību akta normu pārņemšanu vai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https://tapportals.mk.gov.lv/public_participation/c4879c02-c6a7-4a6b-9fbf-7d1b03b9750c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nodrošināta no 2025. gada 1. aprīļa līdz 15. aprīlim, kuras laikā tika saņemti divi viedokļi par projektu. Izteiktie viedokļi tika izvērtēti, precizējot projektu. Viedokļi kopumā ņemti vērā; atsevišķos aspektos ņemti vērā daļēji. Publiskās apspriešanas rezultātus skatīt sadaļā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publiskās apspriešanas noslēgšanās vairāki šajā TA lietā ietvertie grozījumi tika izdalīti atsevišķi un tiek virzīti atsevišķi ar TA lietu 25-TA-3090 (skatīt sadaļu "Saistītie 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pilnveidots elektroenerģijas tirgus darbības regulējums, veicinot turpmāku atjaunīgo energoresursu izmantošanu un īpatsvara palielināšanos kopējā enerģijas bilancē.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25-TA-649</w:t>
    </w:r>
    <w:r>
      <w:br/>
    </w:r>
    <w:r w:rsidR="00000000" w:rsidRPr="00000000" w:rsidDel="00000000">
      <w:rPr>
        <w:rtl w:val="0"/>
      </w:rPr>
      <w:t xml:space="preserve">Izdrukāts 29.07.2026. 22.29 - 4.0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25-TA-649</w:t>
    </w:r>
    <w:r>
      <w:br/>
    </w:r>
    <w:r w:rsidR="00000000" w:rsidRPr="00000000" w:rsidDel="00000000">
      <w:rPr>
        <w:rtl w:val="0"/>
      </w:rPr>
      <w:t xml:space="preserve">Izdrukāts 29.07.2026. 22.29 - 4.0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anotācija_(ex_ante)_25-TA-649.docx</dc:title>
</cp:coreProperties>
</file>

<file path=docProps/custom.xml><?xml version="1.0" encoding="utf-8"?>
<Properties xmlns="http://schemas.openxmlformats.org/officeDocument/2006/custom-properties" xmlns:vt="http://schemas.openxmlformats.org/officeDocument/2006/docPropsVTypes"/>
</file>