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9. jūlija noteikumos Nr. 449 "Eiropas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ir izstrādāts pēc Viedās administrācijas un reģionālās attīstības ministrijas kā Eiropas Savienības (turpmāk – ES) fondu atbildīgās iestādes iniciatīvas, ievērojot Eiropas Savienības fondu 2021.–2027. gada plānošanas perioda vadības likuma 19. panta 13. punktu, kas nosaka Ministru kabinetam izstrādāt nosacījumus specifiskā atbalsta mērķa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precizēt ES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(turpmāk - 2.2.3.2. pasākums) īstenošanas mērķteritoriju, kā arī citus nosacījumus, lai nodrošinātu pēc iespējas ātrāku šī pasākuma projektu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8. augustā atbilstoši Ministru kabineta 2024. gada 9. jūlija noteikumu Nr. 449 "Eiropas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 (turpmāk - MK noteikumi Nr. 449) prasībām 2.2.3.2. pasākuma ietvaros izsludināta ierobežota projektu iesniegumu atlase. Tās ietvaros Dabas aizsardzības pārvalde ir iesniegusi vienu no četriem projekta iesniegumiem, kas ir apstiprināts.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lai intensificētu maksājumu plūsmu 2025.gadā, papildus iepriekš plānotajam, paredz veikt papildu ieguldījumus vēl vienā reģionālā līmeņa dabas un vides centrā - Ziemeļvidzemes biosfēras rezervātā, kas atbilst Dabas izglītības attīstības koncepcijai 2021. – 2028.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paātrinātu projektu īstenošanas gaitu, nepieciešams paplašināt 2.2.3.2. pasākuma mērķi un projekta īstenošanas teritoriju, kā arī precizēt normas attiecībā uz Dabas aizsardzības pārvaldes īpašumtiesībām. Vienlaikus nepieciešams veikt izmaiņas, pamatojoties uz ierosinātajiem ES kohēzijas politikas programmas 2021.–2027. gadam vidusposma grozījumiem, kur 2.2.3.2. pasākumam ir paredzēts palielināt pieejamā finansējuma apjomu. Ar noteikumu projektu tiek veicināta ES Kohēzijas politikas programmas 2021.–2027. gadam plānoto investīciju plūsma un Eiropas Komisijas noteiktā ikgadējā deklarējamo izdevumu minimālā sliekšņa (n+3 principa) izpilde.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"Grozījumi Ministru kabineta 2024. gada 9. jūlija noteikumos Nr. 449 "Eiropas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 (turpmāk - noteikumu projekts) precizēts 2.2.3.2. pasākuma mērķis un projektu īstenošanas teritorija, to attiecinot ne tikai uz ieguldījumiem nacionālajos parkos, bet arī uz ieguldījumiem biosfēras rezervātā, lai nodrošinātu investīciju pieejamību visos reģionāla mēroga dabas centros Latvijā saskaņā ar Dabas izglītības attīstības koncepciju 2021-2028.gadam. Tādējādi 2.2.3.2. pasākuma mērķis ir veicināt vispārēju sabiedrības informētību un izglītošanu par bioloģiskās daudzveidības un klimata jautājumiem, kā arī vispārējiem vides procesiem, uzlabot sabiedrības vides apziņu, veicot ieguldījumus dabas un vides izglītības centru (kas ir arī tūrisma objekti) infrastruktūras pilnveidē un attīstībā, nodrošinot mūsdienīgu izglītības saturu un metodes, kas veicinātu sabiedrības izpratni par bioloģisko daudzveidību, klimata jautājumiem un vispārējiem vides procesiem, savukārt 2.2.3.2. pasākuma projektu īstenošanas teritorija ir Gaujas Nacionālais parks, Ķemeru Nacionālais parks, Slīteres Nacionālais parks, Rāznas Nacionālais parks vai Ziemeļvidzemes biosfēras rezervāts.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kohēzijas politikas programmas 2021. - 2027. gadam 2. grozījumi, ar kuriem tika paredzēta finansējuma pārdale no Viedās administrācijas un reģionālās attīstības ministrijas 2. politikas mērķa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 uz 4. politikas mērķi "Sociālāka un iekļaujošāka Eiropa, īstenojot Eiropas sociālo tiesību pīlāru", ir apstiprināti Eiropas Komisijā, tādēļ MK noteikumu Nr. 449 7. punkts tiek precizēts ar aktuālo finansējumu pēc grozījumu stāšanās spēkā. Ņemot vērā no jauna ierosinātos ES kohēzijas politikas programmas 2021.–2027. gadam vidusposma grozījumus, ar kuriem 2.2.3.2. pasākumam paredzēts palielināt Eiropas Reģionālās attīstības fonda (turpmāk - ERAF) finansējumu papildus par 1 000 000 </w:t>
      </w:r>
      <w:r w:rsidR="00000000" w:rsidRPr="00000000" w:rsidDel="00000000">
        <w:rPr>
          <w:i w:val="1"/>
          <w:rtl w:val="0"/>
        </w:rPr>
        <w:t xml:space="preserve">euro</w:t>
      </w:r>
      <w:r w:rsidR="00000000" w:rsidRPr="00000000" w:rsidDel="00000000">
        <w:rPr>
          <w:rtl w:val="0"/>
        </w:rPr>
        <w:t xml:space="preserve"> (ierosināta finansējuma pārdale no 2.1.3.1.pasākuma "Pašvaldību pielāgošanās klimata pārmaiņām" pirmās kārtas, kuras ietvaros ir izvērtēti visi iesniegtie projektu iesniegumi, palicis neizmantots ERAF finansējums un papildu 2.1.3.1. pasākuma pirmās kārtas uzsaukumi netiks organizēti), noteikumu projektā MK noteikumu Nr. 449 8. punkts  tiek izteikts citā redakcijā, norādot paredzēto finansējuma palielinājuma apjomu. Attiecīgi precizēts MK noteikumu Nr. 449 Noslēguma jautājumu 32. punkts, savukārt MK noteikumu Nr. 449 33. punkts saglabāts nemainīgs, norādot, ka MK noteikumu Nr. 449 8. punktu piemēro pēc ES kohēzijas politikas programmas 2021 – 2027.gadam vidusposma grozījumu apstiprināšanas Eiropas Komisijā. Ja Eiropas Komisija neapstiprina ES kohēzijas politikas programmas 2021.–2027. gadam vidusposma grozījumus, atbilstoši MK noteikumu Nr. 449 32.punktam pārdalei paredzētais finansējums netiek piemērots un tiek piemērots MK noteikumu Nr. 449 7.punktā noteiktais finansējuma apjoms. Papildus tehniski precizēts MK noteikumu Nr. 449 12.punkts norādot nosacījumus, kad piemērojams ir MK noteikumu Nr. 449 7. vai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noteikumu projekts paredz pieejamā finansējuma palielināšanu (ES kohēzijas politikas programmas 2021.–2027. gadam vidusposma grozījumos ierosinātā Eiropas Reģionālās attīstības fonda  finansējuma novirzīšana 1 000 000 </w:t>
      </w:r>
      <w:r w:rsidR="00000000" w:rsidRPr="00000000" w:rsidDel="00000000">
        <w:rPr>
          <w:i w:val="1"/>
          <w:rtl w:val="0"/>
        </w:rPr>
        <w:t xml:space="preserve">euro</w:t>
      </w:r>
      <w:r w:rsidR="00000000" w:rsidRPr="00000000" w:rsidDel="00000000">
        <w:rPr>
          <w:rtl w:val="0"/>
        </w:rPr>
        <w:t xml:space="preserve"> apmērā no ES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uz 2.2.3.2. pasākumu) un pasākuma mērķteritorijas paplašināšanu, noteikumu projekts neparedz izmaiņas pasākuma uzraudzības rādītājos un to sasniedzamajās vērtībās, jo ES kohēzijas politikas programmas 2021. - 2027. gadam izvirzītie rādītāji (iznākuma rādītājs – atbalstīto kultūras un tūrisma objektu skaits - četri dabas un vides izglītības centri un rezultāta rādītājs – atbalstīto kultūras un tūrisma objektu apmeklētāju skaits - 201 000 apmeklētāji) noteikti un aprēķināti 2022.gadā, kad nebija pilnībā skaidras vispārējās ekonomiskās tendences un precīzi prognozējams būvniecības izmaksu kāpums [1], tādējādi MK noteikumu Nr. 449 noteiktie uzraudzības rādītāji un sasniedzamās vērtības paliek nemainīgas.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Dabas aizsardzības pārvaldes kā 2.2.3.2. pasākuma projektu īstenotāja iespējas veikt projektos paredzētās darbības Viedās administrācijas un reģionālās attīstības ministrijas valdījumā esošajos nekustamajos īpašumos, noteikumu projektā precizēti 2.2.3.2.pasākuma nosacījumi īpašumtiesībām, papildinot MK noteikumu Nr.449 30.7.apakšpunktu ar atsauci uz turējuma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precizēti nosacījumi Eiropas Jaunā Bauhaus principu piemērošanai, nosakot gadījumus, kad šo principu piemērot nevar. Proti, Eiropas Jaunā Bauhaus principi nav piemērojami tādiem ēkas atjaunošanas darbiem, kas ietver tikai tehniskus uzlabojumus, piemēram, veicot ēku atjaunošanu, īstenojot iekštelpu remontdarbus, remontdarbus, kas saistīti ar atjaunīgo energoresursu ražojošu iekārtu uzstādīšanu un telpu papildināšana ar vides pieejamību nodrošinošiem elementiem. Šie darbi ir tehniska rakstura un neietver konceptuālu vai dizainisku pārveidi, kā arī neparedz lietotāja pieredzē balstītu pieejamību, kas ir Eiropas Jaunā Bauhaus principu pamatā. Līdz ar ko šādu remontdarbu īstenošanā netiek risināti tādi Eiropas Jaunā Bauhaus principi kā kultūrvēsturisko vai ainavisko vērtību integrācija, telpas kvalitātes uzlabošana lietotāju vajadzību kontekstā, kā arī estētiskie un sociālie aspekti.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Eiropas Jaunā Bauhaus principi tiek attiecināti uz būvniecības iecerēm, kur paredzēta jaunu ēku būvniecība vai ēkas pārbūve, kas ietver būves vai tās infrastruktūras dizaina un funkcionālos risinājumus, kuru īstenošanā finansējuma saņēmējam jānodrošina Eiropas Jaunā Bauhaus principu: estētika, ilgtspēja, iekļautība, tai skaitā nodrošinot klimata pārmaiņām pielāgoto risinājumu iekļaušanos apkārtējā ainavā, dabā balstīto risinājumu, universālā dizaina principu ievērošanu (attiecināms, ja projekta ietvaros plānota jaunu ēku būvniecība vai esošo ēku pārbūve).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labvēlīgs projekta iesniedzējam, jo projekta iesniedzējiem turpmāk būs atviegloti īpašumtiesību nosacījumi, kas ļaus ātrākā laika periodā uzsākt būvniecības darbības. Pēc noteikumu projekta apstiprināšanas veicami nepieciešami labojumi 2.2.3.2. pasākuma projektu iesniegumu atlases nolikumā un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izmaksu indeksi pa objektu grupām un resursu veidiem (2021=100) – Resursi, Grupa un Laika periods (Indekss “Būvniecība – pavisam” apakškategorija “Nedzīvojamās ēkas” 2022.gada janvārī veidoja vērtību - 107,8 un 2025.gada februārī vērtību – 131,6, uzrādot būvniecības izmaksu kāpumu par 23,8 procentpunktiem.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https://data.stat.gov.lv/pxweb/lv/OSP_PUB/START__VEK__RC__RCB/RCB030m/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citas personas kas apmeklēs dabas un vides izglītības centrus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 veicināta ES fondu projektu ieguldījumu faktiskā izmantošana, piemēram, sabiedrībai būs pieejamākas iespējas izglītoties dabas un vides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pieejamā finansējuma palielinājumu, noteikumu projektam ir pozitīva ietekme uz būvniecības nozari, IT jomu un citām nozarēm, jo tiek veicināta ekonomikas attīstība un investīciju nonākšana būvniecības, IT nozarē un citās nozarēs projektu īstenošanas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pieejamā finansējuma palielinājumu, noteikumu projektam ir pozitīva ietekme uz tautsaimniecību, jo tiek veicināta ekonomikas attīstība, tiek veicināta nodarbinātība būvniecībā, pakalpojumu sektorā saistībā ar infrastruktūras izveidi.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770 390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523 735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770 390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523 735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906 341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616 159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906 341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616 159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-135 951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-92 424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-135 951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-92 424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-135 951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-92 424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-135 951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-92 424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ietekme uz valsts budžetu noteikta 7.punktā noteiktā finansējuma izmaiņu ietekmes apmērā (noteikumu projekts paredz finansējuma palielinājumu pret spēkā esošo regulējumu par 1 522 500 </w:t>
            </w:r>
            <w:r w:rsidR="00000000" w:rsidRPr="00000000" w:rsidDel="00000000">
              <w:rPr>
                <w:sz w:val="24"/>
                <w:i w:val="1"/>
                <w:rtl w:val="0"/>
              </w:rPr>
              <w:t xml:space="preserve">euro</w:t>
            </w:r>
            <w:r w:rsidR="00000000" w:rsidRPr="00000000" w:rsidDel="00000000">
              <w:rPr>
                <w:sz w:val="24"/>
                <w:rtl w:val="0"/>
              </w:rPr>
              <w:t xml:space="preserve">, tai skaitā ERAF finansējums 1 294 125 </w:t>
            </w:r>
            <w:r w:rsidR="00000000" w:rsidRPr="00000000" w:rsidDel="00000000">
              <w:rPr>
                <w:sz w:val="24"/>
                <w:i w:val="1"/>
                <w:rtl w:val="0"/>
              </w:rPr>
              <w:t xml:space="preserve">euro</w:t>
            </w:r>
            <w:r w:rsidR="00000000" w:rsidRPr="00000000" w:rsidDel="00000000">
              <w:rPr>
                <w:sz w:val="24"/>
                <w:rtl w:val="0"/>
              </w:rPr>
              <w:t xml:space="preserve"> un valsts budžeta finansējumu 228 375 </w:t>
            </w:r>
            <w:r w:rsidR="00000000" w:rsidRPr="00000000" w:rsidDel="00000000">
              <w:rPr>
                <w:sz w:val="24"/>
                <w:i w:val="1"/>
                <w:rtl w:val="0"/>
              </w:rPr>
              <w:t xml:space="preserve">euro</w:t>
            </w:r>
            <w:r w:rsidR="00000000" w:rsidRPr="00000000" w:rsidDel="00000000">
              <w:rPr>
                <w:sz w:val="24"/>
                <w:rtl w:val="0"/>
              </w:rPr>
              <w:t xml:space="preserve"> apmērā), ievērojot, ka MK noteikumu Nr. 449 anotācijā ietekme uz budžetu tika novērtēta, ievērojot 7.punktā norādīto sākotnējo finansējuma apmēru.</w:t>
            </w:r>
            <w:r w:rsidR="00000000" w:rsidRPr="00000000" w:rsidDel="00000000">
              <w:rPr>
                <w:sz w:val="24"/>
                <w:b w:val="1"/>
                <w:rtl w:val="0"/>
              </w:rPr>
              <w:t xml:space="preserve"> </w:t>
            </w:r>
            <w:r w:rsidR="00000000" w:rsidRPr="00000000" w:rsidDel="00000000">
              <w:rPr>
                <w:sz w:val="24"/>
                <w:rtl w:val="0"/>
              </w:rPr>
              <w:t xml:space="preserve">Noteikumu projekta ietekmes (pieejamā finansējuma palielinājums ERAF 1 294 125 </w:t>
            </w:r>
            <w:r w:rsidR="00000000" w:rsidRPr="00000000" w:rsidDel="00000000">
              <w:rPr>
                <w:sz w:val="24"/>
                <w:i w:val="1"/>
                <w:rtl w:val="0"/>
              </w:rPr>
              <w:t xml:space="preserve">euro</w:t>
            </w:r>
            <w:r w:rsidR="00000000" w:rsidRPr="00000000" w:rsidDel="00000000">
              <w:rPr>
                <w:sz w:val="24"/>
                <w:rtl w:val="0"/>
              </w:rPr>
              <w:t xml:space="preserve">) plānotais valsts budžets kārtējam gadam un vidēja termiņa budžeta finansējums norādīts saskaņā ar VARAM aplēsēm un atbilstoši ES kohēzijas politikas programmas projektu vērtēšanas sistēmā projekta iesniedzēja aktuālajām maksājuma prognozēm pirmajam projektu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 deklarējamo maksājumu summa 0 </w:t>
            </w:r>
            <w:r w:rsidR="00000000" w:rsidRPr="00000000" w:rsidDel="00000000">
              <w:rPr>
                <w:sz w:val="24"/>
                <w:i w:val="1"/>
                <w:rtl w:val="0"/>
              </w:rPr>
              <w:t xml:space="preserve">euro</w:t>
            </w:r>
            <w:r w:rsidR="00000000" w:rsidRPr="00000000" w:rsidDel="00000000">
              <w:rPr>
                <w:sz w:val="24"/>
                <w:rtl w:val="0"/>
              </w:rPr>
              <w:t xml:space="preserve"> (t.sk. 0 </w:t>
            </w:r>
            <w:r w:rsidR="00000000" w:rsidRPr="00000000" w:rsidDel="00000000">
              <w:rPr>
                <w:sz w:val="24"/>
                <w:i w:val="1"/>
                <w:rtl w:val="0"/>
              </w:rPr>
              <w:t xml:space="preserve">euro</w:t>
            </w:r>
            <w:r w:rsidR="00000000" w:rsidRPr="00000000" w:rsidDel="00000000">
              <w:rPr>
                <w:sz w:val="24"/>
                <w:rtl w:val="0"/>
              </w:rPr>
              <w:t xml:space="preserve"> ERAF finansējums, 0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 deklarējamo maksājumu summa 906 341 </w:t>
            </w:r>
            <w:r w:rsidR="00000000" w:rsidRPr="00000000" w:rsidDel="00000000">
              <w:rPr>
                <w:sz w:val="24"/>
                <w:i w:val="1"/>
                <w:rtl w:val="0"/>
              </w:rPr>
              <w:t xml:space="preserve">euro</w:t>
            </w:r>
            <w:r w:rsidR="00000000" w:rsidRPr="00000000" w:rsidDel="00000000">
              <w:rPr>
                <w:sz w:val="24"/>
                <w:rtl w:val="0"/>
              </w:rPr>
              <w:t xml:space="preserve"> (t.sk. 770 390 </w:t>
            </w:r>
            <w:r w:rsidR="00000000" w:rsidRPr="00000000" w:rsidDel="00000000">
              <w:rPr>
                <w:sz w:val="24"/>
                <w:i w:val="1"/>
                <w:rtl w:val="0"/>
              </w:rPr>
              <w:t xml:space="preserve">euro</w:t>
            </w:r>
            <w:r w:rsidR="00000000" w:rsidRPr="00000000" w:rsidDel="00000000">
              <w:rPr>
                <w:sz w:val="24"/>
                <w:rtl w:val="0"/>
              </w:rPr>
              <w:t xml:space="preserve"> ERAF finansējums, 135 951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 - deklarējamo maksājumu summa 616 159 </w:t>
            </w:r>
            <w:r w:rsidR="00000000" w:rsidRPr="00000000" w:rsidDel="00000000">
              <w:rPr>
                <w:sz w:val="24"/>
                <w:i w:val="1"/>
                <w:rtl w:val="0"/>
              </w:rPr>
              <w:t xml:space="preserve">euro</w:t>
            </w:r>
            <w:r w:rsidR="00000000" w:rsidRPr="00000000" w:rsidDel="00000000">
              <w:rPr>
                <w:sz w:val="24"/>
                <w:rtl w:val="0"/>
              </w:rPr>
              <w:t xml:space="preserve"> (t.sk. 523 735 </w:t>
            </w:r>
            <w:r w:rsidR="00000000" w:rsidRPr="00000000" w:rsidDel="00000000">
              <w:rPr>
                <w:sz w:val="24"/>
                <w:i w:val="1"/>
                <w:rtl w:val="0"/>
              </w:rPr>
              <w:t xml:space="preserve">euro</w:t>
            </w:r>
            <w:r w:rsidR="00000000" w:rsidRPr="00000000" w:rsidDel="00000000">
              <w:rPr>
                <w:sz w:val="24"/>
                <w:rtl w:val="0"/>
              </w:rPr>
              <w:t xml:space="preserve"> ERAF finansējums, 92 424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 - deklarējamo maksājumu summa 0 EUR (t.sk. 0 </w:t>
            </w:r>
            <w:r w:rsidR="00000000" w:rsidRPr="00000000" w:rsidDel="00000000">
              <w:rPr>
                <w:sz w:val="24"/>
                <w:i w:val="1"/>
                <w:rtl w:val="0"/>
              </w:rPr>
              <w:t xml:space="preserve">euro</w:t>
            </w:r>
            <w:r w:rsidR="00000000" w:rsidRPr="00000000" w:rsidDel="00000000">
              <w:rPr>
                <w:sz w:val="24"/>
                <w:rtl w:val="0"/>
              </w:rPr>
              <w:t xml:space="preserve"> ERAF finansējums, 0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kārtējā gadā norādītas atbilstoši prognozēm par projektu īstenošanas gaitu un projekta iesniedzēja plānotajām darbībām. Budžeta ieņēmumi plānoti kā ES fondu atmaksas, savukārt izdevumi - projektā plānotais ES fondu finansējums un valsts budžeta līdzfinansējuma (15%)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tiek apstiprināti ES kohēzijas politikas programmas 2021.–2027. gadam vidusposma grozījumi un ERAF finansējuma novirzīšana 1 000 000 </w:t>
            </w:r>
            <w:r w:rsidR="00000000" w:rsidRPr="00000000" w:rsidDel="00000000">
              <w:rPr>
                <w:sz w:val="24"/>
                <w:i w:val="1"/>
                <w:rtl w:val="0"/>
              </w:rPr>
              <w:t xml:space="preserve">euro</w:t>
            </w:r>
            <w:r w:rsidR="00000000" w:rsidRPr="00000000" w:rsidDel="00000000">
              <w:rPr>
                <w:sz w:val="24"/>
                <w:rtl w:val="0"/>
              </w:rPr>
              <w:t xml:space="preserve"> apmērā no ES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uz 2.2.3.2. pasākumu, Noteikumu projekta ietekmes (pieejamā finansējuma palielinājums ERAF 1 000 000 </w:t>
            </w:r>
            <w:r w:rsidR="00000000" w:rsidRPr="00000000" w:rsidDel="00000000">
              <w:rPr>
                <w:sz w:val="24"/>
                <w:i w:val="1"/>
                <w:rtl w:val="0"/>
              </w:rPr>
              <w:t xml:space="preserve">euro</w:t>
            </w:r>
            <w:r w:rsidR="00000000" w:rsidRPr="00000000" w:rsidDel="00000000">
              <w:rPr>
                <w:sz w:val="24"/>
                <w:rtl w:val="0"/>
              </w:rPr>
              <w:t xml:space="preserve">) plānotais valsts budžets kārtējam gadam un vidēja termiņa budžeta finansējums norādīts zemāk saskaņā ar šādām aplēsēm: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 deklarējamo maksājumu summa 0 </w:t>
            </w:r>
            <w:r w:rsidR="00000000" w:rsidRPr="00000000" w:rsidDel="00000000">
              <w:rPr>
                <w:sz w:val="24"/>
                <w:i w:val="1"/>
                <w:rtl w:val="0"/>
              </w:rPr>
              <w:t xml:space="preserve">euro</w:t>
            </w:r>
            <w:r w:rsidR="00000000" w:rsidRPr="00000000" w:rsidDel="00000000">
              <w:rPr>
                <w:sz w:val="24"/>
                <w:rtl w:val="0"/>
              </w:rPr>
              <w:t xml:space="preserve"> (t.sk. 0 </w:t>
            </w:r>
            <w:r w:rsidR="00000000" w:rsidRPr="00000000" w:rsidDel="00000000">
              <w:rPr>
                <w:sz w:val="24"/>
                <w:i w:val="1"/>
                <w:rtl w:val="0"/>
              </w:rPr>
              <w:t xml:space="preserve">euro</w:t>
            </w:r>
            <w:r w:rsidR="00000000" w:rsidRPr="00000000" w:rsidDel="00000000">
              <w:rPr>
                <w:sz w:val="24"/>
                <w:rtl w:val="0"/>
              </w:rPr>
              <w:t xml:space="preserve"> ERAF finansējums, 0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 deklarējamo maksājumu summa 0 </w:t>
            </w:r>
            <w:r w:rsidR="00000000" w:rsidRPr="00000000" w:rsidDel="00000000">
              <w:rPr>
                <w:sz w:val="24"/>
                <w:i w:val="1"/>
                <w:rtl w:val="0"/>
              </w:rPr>
              <w:t xml:space="preserve">euro</w:t>
            </w:r>
            <w:r w:rsidR="00000000" w:rsidRPr="00000000" w:rsidDel="00000000">
              <w:rPr>
                <w:sz w:val="24"/>
                <w:rtl w:val="0"/>
              </w:rPr>
              <w:t xml:space="preserve"> (t.sk. 0 </w:t>
            </w:r>
            <w:r w:rsidR="00000000" w:rsidRPr="00000000" w:rsidDel="00000000">
              <w:rPr>
                <w:sz w:val="24"/>
                <w:i w:val="1"/>
                <w:rtl w:val="0"/>
              </w:rPr>
              <w:t xml:space="preserve">euro</w:t>
            </w:r>
            <w:r w:rsidR="00000000" w:rsidRPr="00000000" w:rsidDel="00000000">
              <w:rPr>
                <w:sz w:val="24"/>
                <w:rtl w:val="0"/>
              </w:rPr>
              <w:t xml:space="preserve"> ERAF finansējums, 0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 - deklarējamo maksājumu summa 1 041 052 </w:t>
            </w:r>
            <w:r w:rsidR="00000000" w:rsidRPr="00000000" w:rsidDel="00000000">
              <w:rPr>
                <w:sz w:val="24"/>
                <w:i w:val="1"/>
                <w:rtl w:val="0"/>
              </w:rPr>
              <w:t xml:space="preserve">euro</w:t>
            </w:r>
            <w:r w:rsidR="00000000" w:rsidRPr="00000000" w:rsidDel="00000000">
              <w:rPr>
                <w:sz w:val="24"/>
                <w:rtl w:val="0"/>
              </w:rPr>
              <w:t xml:space="preserve"> (t.sk. 884 894 </w:t>
            </w:r>
            <w:r w:rsidR="00000000" w:rsidRPr="00000000" w:rsidDel="00000000">
              <w:rPr>
                <w:sz w:val="24"/>
                <w:i w:val="1"/>
                <w:rtl w:val="0"/>
              </w:rPr>
              <w:t xml:space="preserve">euro</w:t>
            </w:r>
            <w:r w:rsidR="00000000" w:rsidRPr="00000000" w:rsidDel="00000000">
              <w:rPr>
                <w:sz w:val="24"/>
                <w:rtl w:val="0"/>
              </w:rPr>
              <w:t xml:space="preserve"> ERAF finansējums, 156 158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 - deklarējamo maksājumu summa 135 419 </w:t>
            </w:r>
            <w:r w:rsidR="00000000" w:rsidRPr="00000000" w:rsidDel="00000000">
              <w:rPr>
                <w:sz w:val="24"/>
                <w:i w:val="1"/>
                <w:rtl w:val="0"/>
              </w:rPr>
              <w:t xml:space="preserve">euro</w:t>
            </w:r>
            <w:r w:rsidR="00000000" w:rsidRPr="00000000" w:rsidDel="00000000">
              <w:rPr>
                <w:sz w:val="24"/>
                <w:rtl w:val="0"/>
              </w:rPr>
              <w:t xml:space="preserve"> (t.sk. 115 106 </w:t>
            </w:r>
            <w:r w:rsidR="00000000" w:rsidRPr="00000000" w:rsidDel="00000000">
              <w:rPr>
                <w:sz w:val="24"/>
                <w:i w:val="1"/>
                <w:rtl w:val="0"/>
              </w:rPr>
              <w:t xml:space="preserve">euro</w:t>
            </w:r>
            <w:r w:rsidR="00000000" w:rsidRPr="00000000" w:rsidDel="00000000">
              <w:rPr>
                <w:sz w:val="24"/>
                <w:rtl w:val="0"/>
              </w:rPr>
              <w:t xml:space="preserve"> ERAF finansējums, 20 313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gads - deklarējamo maksājumu summa 0 </w:t>
            </w:r>
            <w:r w:rsidR="00000000" w:rsidRPr="00000000" w:rsidDel="00000000">
              <w:rPr>
                <w:sz w:val="24"/>
                <w:i w:val="1"/>
                <w:rtl w:val="0"/>
              </w:rPr>
              <w:t xml:space="preserve">euro</w:t>
            </w:r>
            <w:r w:rsidR="00000000" w:rsidRPr="00000000" w:rsidDel="00000000">
              <w:rPr>
                <w:sz w:val="24"/>
                <w:rtl w:val="0"/>
              </w:rPr>
              <w:t xml:space="preserve"> (t.sk. 0 </w:t>
            </w:r>
            <w:r w:rsidR="00000000" w:rsidRPr="00000000" w:rsidDel="00000000">
              <w:rPr>
                <w:sz w:val="24"/>
                <w:i w:val="1"/>
                <w:rtl w:val="0"/>
              </w:rPr>
              <w:t xml:space="preserve">euro</w:t>
            </w:r>
            <w:r w:rsidR="00000000" w:rsidRPr="00000000" w:rsidDel="00000000">
              <w:rPr>
                <w:sz w:val="24"/>
                <w:rtl w:val="0"/>
              </w:rPr>
              <w:t xml:space="preserve"> ERAF finansējums, 0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plānotas zem šādiem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060 - Pielāgošanās klimata pārmaiņu pasākumiem, ar klimatu saistīto risku novēršanas pārvaldība - 647 063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079 - Dabas un bioloģiskās daudzveidības aizsardzība, dabas mantojums un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zaļā un zilā infrastruktūra – 8 781 562 </w:t>
            </w:r>
            <w:r w:rsidR="00000000" w:rsidRPr="00000000" w:rsidDel="00000000">
              <w:rPr>
                <w:sz w:val="24"/>
                <w:i w:val="1"/>
                <w:rtl w:val="0"/>
              </w:rPr>
              <w:t xml:space="preserve">euro</w:t>
            </w:r>
            <w:r w:rsidR="00000000" w:rsidRPr="00000000" w:rsidDel="00000000">
              <w:rPr>
                <w:sz w:val="24"/>
                <w:rtl w:val="0"/>
              </w:rPr>
              <w:t xml:space="preserve"> sabiedrības vides un dabas izglītības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Stājoties spēkā ES kohēzijas politikas programmas vidusposma grozījumiem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078 kods - Natura 2000 teritoriju aizsardzība, atjaunošana un ilgtspējīga izmantošana. Investīcijas Natura 2000 teritoriju aizsardzības un apsaimniekošanas pasākumu īstenošanai 1 000 000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nepieciešamais ERAF un valsts budžets līdzfinansējums normatīvajos aktos noteiktajā kārtībā tiks pieprasīts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projektu izskatīšanai Ministru kabinetā paredzēts virzīti steidzamības kārtībā. Noteikumu projekts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iegūtā informācija un sniegtie pakalpojumi var tikt izmantoti jaunu, nekomerciālu pakalpojumu radīšanai.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jaunizveidotajos un atjaunotajos Dabas aizsardzības pārvaldes objektos tiks uzstādītas apsardzes un videonovērošanas sistēmas, kā arī tiks izveidotas interaktīvas ekspozīcijas dabas un vides izglītības satura nodošanai apmeklētājiem.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rezultātā tiks uzlabota sabiedrības informētība dabas un vides izglītības jautājumos.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paplašināts investīciju mērķis un īstenošanas teritorija, līdz ar to jaunizbūvētā infrastruktūra piesaistīs vairāk tūristu reģionā, kas varētu potenciāli izmantot konkrētā reģiona vietējos tautsaimniecības pakalpojumus, tādējādi vietējiem uzņēmējiem gūstot ieņēmumus no ēdināšanas, naktsmītņu vai citu pakalpojumu nodrošināšanas.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paplašināts investīciju mērķis un īstenošanas teritorija, līdz ar to jaunizbūvētā infrastruktūra šajā teritorijā uzlabos sabiedrības informētību dabas un vides izglītības jautājumos.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paplašināts investīciju mērķis un īstenošanas teritorija, līdz ar to jaunizbūvētā infrastruktūra šajā teritorijā uzlabos sabiedrības informētību dabas un vides izglītības jautājumos.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paplašināts investīciju mērķis un īstenošanas teritorija, vienlaikus netiek mainīti līdz šim noteiktie nosacījumi horizontālā principa "Vienlīdzība, iekļaušana, nediskriminācija un pamattiesību ievērošana" nodrošināšana"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paplašināts investīciju mērķis un īstenošanas teritorija, vienlaikus netiek mainīti līdz šim noteiktie nosacījumi horizontālā principa "Vienlīdzība, iekļaušana, nediskriminācija un pamattiesību ievērošana" nodrošināšana"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paplašināts investīciju mērķis un īstenošanas teritorija, vienlaikus netiek mainīti līdz šim noteiktie nosacījumi horizontālā principa "Vienlīdzība, iekļaušana, nediskriminācija un pamattiesību ievērošana" nodrošināšana"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paplašināts investīciju mērķis un īstenošanas teritorija, vienlaikus netiek mainīti līdz šim noteiktie nosacījumi horizontālā principa "Vienlīdzība, iekļaušana, nediskriminācija un pamattiesību ievērošana" nodrošināšana"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25-TA-909</w:t>
    </w:r>
    <w:r>
      <w:br/>
    </w:r>
    <w:r w:rsidR="00000000" w:rsidRPr="00000000" w:rsidDel="00000000">
      <w:rPr>
        <w:rtl w:val="0"/>
      </w:rPr>
      <w:t xml:space="preserve">Izdrukāts 29.07.2026. 22.34 - 2.0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25-TA-909</w:t>
    </w:r>
    <w:r>
      <w:br/>
    </w:r>
    <w:r w:rsidR="00000000" w:rsidRPr="00000000" w:rsidDel="00000000">
      <w:rPr>
        <w:rtl w:val="0"/>
      </w:rPr>
      <w:t xml:space="preserve">Izdrukāts 29.07.2026. 22.34 - 2.0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anotācija_(ex_ante)_25-TA-909.docx</dc:title>
</cp:coreProperties>
</file>

<file path=docProps/custom.xml><?xml version="1.0" encoding="utf-8"?>
<Properties xmlns="http://schemas.openxmlformats.org/officeDocument/2006/custom-properties" xmlns:vt="http://schemas.openxmlformats.org/officeDocument/2006/docPropsVTypes"/>
</file>