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43. punkts, valsts galvenā pārtikas un veterinārā inspektora 2024. gada 20. jūnija rīkojums Nr. 107 "Par karantīnas noteikšanu un ierobežojumiem Valmieras novada Matīšu pagastā" un valsts galvenā pārtikas un veterinārā inspektora 2024. gada 25. jūnija rīkojums Nr. 116 "Par karantīnas noteikšanu un ierobežojumiem Valmieras novada Vecates pagastā".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dienestam nepieciešami papildu budžeta līdzekļi (17 534,38 </w:t>
      </w:r>
      <w:r w:rsidR="00000000" w:rsidRPr="00000000" w:rsidDel="00000000">
        <w:rPr>
          <w:i w:val="1"/>
          <w:rtl w:val="0"/>
        </w:rPr>
        <w:t xml:space="preserve">euro</w:t>
      </w:r>
      <w:r w:rsidR="00000000" w:rsidRPr="00000000" w:rsidDel="00000000">
        <w:rPr>
          <w:rtl w:val="0"/>
        </w:rPr>
        <w:t xml:space="preserve">), lai segtu izdevumus, kas radušies, organizējot Valmieras novada Matīšu pagasta un Vecates pagasta novietnēs esošo cūku līķu un no apgrozības izņemtās dzīvnieku izcelsmes pārtikas transportēšanu un iznīcināšanu.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galvenais pārtikas un veterinārais inspektors 2024. gada 20. jūnijā izdeva rīkojumu Nr. 107 "Par karantīnas noteikšanu un ierobežojumiem Valmieras novada Matīšu pagastā", pamatojoties uz valsts zinātniskā institūta "Pārtikas drošības, dzīvnieku veselības un vides zinātniskais institūts "BIOR"" (turpmāk – institūts BIOR) 2024. gada 20. jūnija testēšanas pārskatu Nr. DZ-2024-V-40247.01, un 2024. gada 25. jūnijā – rīkojumu Nr. 116 "Par karantīnas noteikšanu un ierobežojumiem Valmieras novada Vecates pagastā", pamatojoties uz institūta BIOR 2024. gada 25. jūnija testēšanas pārskatu Nr. DZ-2024-V-42106.01. Valmieras novada Matīšu pagastā (novietnes reģistrācijas numurs Lauksaimniecības datu centra datubāzē LV1480282) un Vecates pagastā (novietnes reģistrācijas numurs Lauksaimniecības datu centra datubāzē LV1484411) ir konstatēta mājas cūku saslimšana ar Āfrikas cūku mēri (turpmāk – ĀCM).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2016. gada 9. marta Regulu 2016/429 par pārnēsājamām dzīvnieku slimībām un ar ko groza un atceļ konkrētus aktus dzīvnieku veselības jomā ("Dzīvnieku veselības tiesību akts"), Eiropas Komisijas 2019. gada 17. decembra Deleģētās regulas 2020/687, ar ko attiecībā uz noteikumiem par noteiktu sarakstā norādītu slimību profilaksi un kontroli papildina Eiropas Parlamenta un Padomes Regulu (ES) 2016/429, (turpmāk – Regula 2020/687) 12. pantu un Eiropas Komisijas 2023. gada 16. marta Īstenošanas regulu 2023/594, ar ko nosaka īpašus slimības kontroles pasākumus attiecībā uz Āfrikas cūku mēri un atceļ īstenošanas regulu 2021/605 31. un 35. pantā, kā arī Ministru kabineta 2024. gada 18. jūnija noteikumu Nr. 381 "Āfrikas cūku mēra uzliesmojuma likvidēšanas un draudu novēršanas kārtība" (turpmāk – noteikumi Nr. 381) 35. punktu, visi cūku sugas dzīvnieki inficētajā novietnē ir jānogalina, lai likvidētu slimības uzliesmojumu.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2020/687 ir noteikts, ka dzīvnieku izcelsmes blakusprodukti, kas nav paredzēti cilvēku patēriņam (turpmāk – blakusprodukti), tostarp iegūti, nonāvējot dzīvniekus, kā arī dzīvnieku izcelsmes produkti tiek likvidēti vai pārstrādāti saskaņā ar Eiropas Parlamenta un Padomes 2009. gada 21. oktobra Regulu (EK) Nr. 1069/2009, ar ko nosaka veselības aizsardzības noteikumus attiecībā uz dzīvnieku izcelsmes blakusproduktiem un atvasinātajiem produktiem, kuri nav paredzēti cilvēku patēriņam, un ar ko atceļ Regulu (ES) Nr. 1774/2002 (turpmāk – Regula Nr. 1069/2009). Savukārt noteikumos Nr. 381 ir noteikts, ka ĀCM uzliesmojuma gadījumā blakusproduktus pārstrādā, piemērojot Regulas 1069/2009 I sadaļas II nodaļas nosacījumus un Eiropas Komisijas 2011. gada 25. februāra Regulā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Nr. 142/2011) noteiktās pārstrādes metodes un nosacījumus, lai novērstu slimības ierosinātāja izplatīšanās iespēju.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kopumā jāņem vērā šādi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ātra rīcība ar slimajiem dzīvniekiem ĀCM skartajās dzīvnieku 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tūlītēja dzīvnieku līķu un no apgrozības izņemtās dzīvnieku izcelsmes pārtikas pārstrāde un likvidēšana;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blakusproduktu pārstrādes uzņēmumam jābūt ar attiecīgu darbības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tikai viens dzīvnieku līķu (2. kategorijas blakusproduktu) pārstrādes uzņēmums, kas atbilst Regulā Nr. 1069/2009 un Regulā Nr. 142/2011 noteiktajām prasībām, – blakusproduktu pārstrādes uzņēmums SIA "Grow Energy" (reģistrācijas numurs 40103275664, juridiskā adrese "Gravas", Limbažu pagasts, Limbažu novads, LV-4020, faktiskā adrese "Gravas", Limbažu pagasts, Limbažu novads, LV-4020, Pārtikas un veterinārā dienesta (turpmāk – PVD) atzīšanas numurs A 064721) ar dzīvnieku līķu pārstrādes jaudu liela epizootijas uzliesmojuma gadījumā. Turklāt PVD ir līgums ar SIA "Grow Energy" par nobeigušos un inficēto mežacūku līķu savākšanu visā Latvijas teritorijā, to pārstrādi un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ir veicis epidemioloģisko izmeklēšanu un noskaidrojis epidemioloģiski saistīto cūku novietni un pārtikas uzņēmumu. PVD inspektori saistītajā cūku novietnē organizēja cūku piespiedu nogalināšanu un pārtikas uzņēmumā izsekoja gaļas pārvietošanu un aizturēja produkciju.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Nogalinot cūkas Matīšu pagastā, radās 49,36 tonnas dzīvnieku līķu, un no apgrozības tika izņemti 210,40 kg dzīvnieku izcelsmes pārtikas, savukārt Vecates pagastā, nogalinot cūkas, radās 1,32 tonnas dzīvnieku līķu.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tiek īstenota ar Eiropas Komisiju saskaņota un apstiprināta ĀCM uzraudzības un kontroles programma, taču tajā minētie līdzekļi nav paredzēti, lai segtu izdevumus, kas radušies ĀCM uzliesmojumu apkarošanai cūku novietnēs.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zaudējumus, kas radušies ĀCM apkarošanas laikā, no valsts budžeta programmas 02.00.00 "Līdzekļi neparedzētiem gadījumiem" Zemkopības ministrijai nepieciešams saņemt 17 534,38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Dalībvalstu izdevumus, kas radušies, pēc ĀCM uzliesmojuma īstenojot tā apkarošanas pasākumus cūku novietnēs, Eiropas Savienība līdzfinansē kā ārkārtas pasākumus saskaņā ar Eiropas Parlamenta un Padomes 2021. gada 28. aprīļa Regulas (ES) 2021/690, ar ko izveido iekšējā tirgus, uzņēmumu, tostarp mazo un vidējo uzņēmumu, konkurētspējas, augu, dzīvnieku, pārtikas aprites un dzīvnieku barības jomas un Eiropas statistikas programmu (vienotā tirgus programma) un atceļ Regulas (ES) Nr. 99/2013, (ES) Nr. 1287/2013, (ES) Nr. 254/2014, un (ES) Nr. 652/2014, (turpmāk – Regula 2021/690) 12. un 13. panta un I pielikuma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pieņemšana problēmu atrisinās pilnībā.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ĀCM Latvijā ir aktuāls kopš 2014. gada 26. jūnija, kad Latvijas teritorijā Baltkrievijas un Krievijas Federācijas pierobežā tika konstatēti pirmie mežacūku saslimšanas gadījumi ar ĀCM. Vēlāk, slimībai izplatoties mežacūku populācijā, ĀCM tika konstatēts arī piemājas cūku 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ĀCM uzraudzības programmu, šogad laikposmā līdz 5. augustam ir atklātas 855 mežacūkas, kuru laboratoriskie izmeklējumi ir pozitīvi uz ĀCM.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ĀCM skartajā novietnē Valmieras novada Matīšu pagastā, nogalinot dzīvniekus, radās 49,36 tonnas dzīvnieku līķu, un no apgrozības tika izņemti 210,40 kg dzīvnieku izcelsmes pārtikas. ĀCM skartajā novietnē Valmieras novada Vecates pagastā, nogalinot dzīvniekus, radās 1,32 tonnas dzīvnieku līķu. SIA "Grow Energy" ir iesniegusi aprēķinu par dzīvnieku līķu un no apgrozības izņemtās dzīvnieku izcelsmes pārtikas savākšanas, transportēšanas, pārstrādāšanas un likvidēšanas izmaksām, kas ir 310,80 </w:t>
            </w:r>
            <w:r w:rsidR="00000000" w:rsidRPr="00000000" w:rsidDel="00000000">
              <w:rPr>
                <w:sz w:val="24"/>
                <w:i w:val="1"/>
                <w:rtl w:val="0"/>
              </w:rPr>
              <w:t xml:space="preserve">euro</w:t>
            </w:r>
            <w:r w:rsidR="00000000" w:rsidRPr="00000000" w:rsidDel="00000000">
              <w:rPr>
                <w:sz w:val="24"/>
                <w:rtl w:val="0"/>
              </w:rPr>
              <w:t xml:space="preserve"> par tonnu cūku līķu un 4875,42 </w:t>
            </w:r>
            <w:r w:rsidR="00000000" w:rsidRPr="00000000" w:rsidDel="00000000">
              <w:rPr>
                <w:sz w:val="24"/>
                <w:i w:val="1"/>
                <w:rtl w:val="0"/>
              </w:rPr>
              <w:t xml:space="preserve">euro</w:t>
            </w:r>
            <w:r w:rsidR="00000000" w:rsidRPr="00000000" w:rsidDel="00000000">
              <w:rPr>
                <w:sz w:val="24"/>
                <w:rtl w:val="0"/>
              </w:rPr>
              <w:t xml:space="preserve"> par tonnu no apgrozības izņemtās dzīvnieku izcelsmes pārtiku Matīšu pagastā, un 884,69 </w:t>
            </w:r>
            <w:r w:rsidR="00000000" w:rsidRPr="00000000" w:rsidDel="00000000">
              <w:rPr>
                <w:sz w:val="24"/>
                <w:i w:val="1"/>
                <w:rtl w:val="0"/>
              </w:rPr>
              <w:t xml:space="preserve">euro</w:t>
            </w:r>
            <w:r w:rsidR="00000000" w:rsidRPr="00000000" w:rsidDel="00000000">
              <w:rPr>
                <w:sz w:val="24"/>
                <w:rtl w:val="0"/>
              </w:rPr>
              <w:t xml:space="preserve"> par tonnu cūku līķu Vecates pagastā.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izmaksu aprēķins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49,36 t x 310,80 </w:t>
            </w:r>
            <w:r w:rsidR="00000000" w:rsidRPr="00000000" w:rsidDel="00000000">
              <w:rPr>
                <w:sz w:val="24"/>
                <w:i w:val="1"/>
                <w:rtl w:val="0"/>
              </w:rPr>
              <w:t xml:space="preserve">euro</w:t>
            </w:r>
            <w:r w:rsidR="00000000" w:rsidRPr="00000000" w:rsidDel="00000000">
              <w:rPr>
                <w:sz w:val="24"/>
                <w:rtl w:val="0"/>
              </w:rPr>
              <w:t xml:space="preserve">/t = 15 341,08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0,2104 t x 4875,42 </w:t>
            </w:r>
            <w:r w:rsidR="00000000" w:rsidRPr="00000000" w:rsidDel="00000000">
              <w:rPr>
                <w:sz w:val="24"/>
                <w:i w:val="1"/>
                <w:rtl w:val="0"/>
              </w:rPr>
              <w:t xml:space="preserve">euro</w:t>
            </w:r>
            <w:r w:rsidR="00000000" w:rsidRPr="00000000" w:rsidDel="00000000">
              <w:rPr>
                <w:sz w:val="24"/>
                <w:rtl w:val="0"/>
              </w:rPr>
              <w:t xml:space="preserve">/t = 1 025,78 </w:t>
            </w:r>
            <w:r w:rsidR="00000000" w:rsidRPr="00000000" w:rsidDel="00000000">
              <w:rPr>
                <w:sz w:val="24"/>
                <w:i w:val="1"/>
                <w:rtl w:val="0"/>
              </w:rPr>
              <w:t xml:space="preserve">eur</w:t>
            </w:r>
            <w:r w:rsidR="00000000" w:rsidRPr="00000000" w:rsidDel="00000000">
              <w:rPr>
                <w:sz w:val="24"/>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t x 884,69 </w:t>
            </w:r>
            <w:r w:rsidR="00000000" w:rsidRPr="00000000" w:rsidDel="00000000">
              <w:rPr>
                <w:sz w:val="24"/>
                <w:i w:val="1"/>
                <w:rtl w:val="0"/>
              </w:rPr>
              <w:t xml:space="preserve">euro</w:t>
            </w:r>
            <w:r w:rsidR="00000000" w:rsidRPr="00000000" w:rsidDel="00000000">
              <w:rPr>
                <w:sz w:val="24"/>
                <w:rtl w:val="0"/>
              </w:rPr>
              <w:t xml:space="preserve">/t = 1 167,79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15 341,08 </w:t>
            </w:r>
            <w:r w:rsidR="00000000" w:rsidRPr="00000000" w:rsidDel="00000000">
              <w:rPr>
                <w:sz w:val="24"/>
                <w:i w:val="1"/>
                <w:rtl w:val="0"/>
              </w:rPr>
              <w:t xml:space="preserve">euro</w:t>
            </w:r>
            <w:r w:rsidR="00000000" w:rsidRPr="00000000" w:rsidDel="00000000">
              <w:rPr>
                <w:sz w:val="24"/>
                <w:rtl w:val="0"/>
              </w:rPr>
              <w:t xml:space="preserve"> + 1 025,78 </w:t>
            </w:r>
            <w:r w:rsidR="00000000" w:rsidRPr="00000000" w:rsidDel="00000000">
              <w:rPr>
                <w:sz w:val="24"/>
                <w:i w:val="1"/>
                <w:rtl w:val="0"/>
              </w:rPr>
              <w:t xml:space="preserve">euro</w:t>
            </w:r>
            <w:r w:rsidR="00000000" w:rsidRPr="00000000" w:rsidDel="00000000">
              <w:rPr>
                <w:sz w:val="24"/>
                <w:rtl w:val="0"/>
              </w:rPr>
              <w:t xml:space="preserve"> + 1 167,79 </w:t>
            </w:r>
            <w:r w:rsidR="00000000" w:rsidRPr="00000000" w:rsidDel="00000000">
              <w:rPr>
                <w:sz w:val="24"/>
                <w:i w:val="1"/>
                <w:rtl w:val="0"/>
              </w:rPr>
              <w:t xml:space="preserve">euro</w:t>
            </w:r>
            <w:r w:rsidR="00000000" w:rsidRPr="00000000" w:rsidDel="00000000">
              <w:rPr>
                <w:sz w:val="24"/>
                <w:rtl w:val="0"/>
              </w:rPr>
              <w:t xml:space="preserve"> = 17 534,65 </w:t>
            </w:r>
            <w:r w:rsidR="00000000" w:rsidRPr="00000000" w:rsidDel="00000000">
              <w:rPr>
                <w:sz w:val="24"/>
                <w:i w:val="1"/>
                <w:rtl w:val="0"/>
              </w:rPr>
              <w:t xml:space="preserve">eur</w:t>
            </w:r>
            <w:r w:rsidR="00000000" w:rsidRPr="00000000" w:rsidDel="00000000">
              <w:rPr>
                <w:sz w:val="24"/>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"Grow Energy" iesniegumā Nr. IE-24-5/08 lūdz izmaksāt 17 534,38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Attaisnojošie dokumenti par faktiskajām izmaksām tika nosūtīti uz Finanšu ministrijas elektroniskā pasta adresi vairis.santars@fm.gov.lv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finansējuma piešķiršanu Zemkopības ministrijai (Lauku atbalsta dienestam) no valsts budžeta programmas 02.00.00 "Līdzekļi neparedzētiem gadījumiem", lai nodrošinātu samaksu SIA "Grow Energy".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2021/690 paredz ārkārtas pasākumu līdzfinansējumu saskaņā ar 3. panta 2. punkta "e" apakšpunktā minēto mērķi un nosacījumiem.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rīkojuma projektu nav paredzēts ieviest jaunas politiskās iniciatīvas, sabiedrības līdzdalība un komunikācijas pasākumi rīkojuma projekta izstrādes laikā netika organizēti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sēdes izskatāmo jautājumu sarakstā būs publiski pieejamu Ministru kabineta tīmekļvietnes www.mk.gov.lv sadaļās "Ministru kabineta sēdes" un "Tiesību aktu projekti", lai ar tiem varētu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24-TA-1920</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24-TA-1920</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anotācija_(ex_ante)_24-TA-1920.docx</dc:title>
</cp:coreProperties>
</file>

<file path=docProps/custom.xml><?xml version="1.0" encoding="utf-8"?>
<Properties xmlns="http://schemas.openxmlformats.org/officeDocument/2006/custom-properties" xmlns:vt="http://schemas.openxmlformats.org/officeDocument/2006/docPropsVTypes"/>
</file>