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"Kārtība, kādā īstenojami atbalstāmie pasākumi jaunuzņēmumu komercdarbības vides pilnveidošanai"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Jaunuzņēmumu komercdarbības vides pilnveidošanas atbalstāmo pasākumu īstenošanas kārtība (turpmāk – Noteikumu projekts) izstrādāta saskaņā ar Jaunuzņēmumu darbības atbalsta likuma 3.</w:t>
      </w:r>
      <w:r w:rsidR="00000000" w:rsidRPr="00000000" w:rsidDel="00000000">
        <w:rPr>
          <w:vertAlign w:val="superscript"/>
          <w:rtl w:val="0"/>
        </w:rPr>
        <w:t xml:space="preserve">1</w:t>
      </w:r>
      <w:r w:rsidR="00000000" w:rsidRPr="00000000" w:rsidDel="00000000">
        <w:rPr>
          <w:rtl w:val="0"/>
        </w:rPr>
        <w:t xml:space="preserve"> panta trešo daļu.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noteikt atbalstāmos pasākumus jaunuzņēmumu komercdarbības vides pilnveidošanai, to izpildes nosacījumus un īstenošanas kārtību, jaunuzņēmumu pārstāvošo organizāciju (turpmāk – Organizāciju) kvalifikācijas nosacījumus, komercdarbības atbalsta piešķiršanas nosacījumus un atbalstāmo pasākumu īstenošanai pieejamo valsts finansējuma apmēru.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jaunuzņēmumu veidošanos Latvijā, tādējādi sekmējot pētniecību, kā arī inovatīvu ideju, produktu vai procesu izmantošanu saimnieciskajā darbībā, Latvijā kopš 2016. gada ir ieviests Jaunuzņēmumu darbības atbalsta likums (turpmāk – Likums), kas nosaka atbalsta programmas, to piešķiršanas kritērijus, kā arī jaunuzņēmumam piešķirtā atbalsta administrēšanas kārtību riska kapitāla investoru kvalifikācijas nosacījumus, kā arī jaunuzņēmumu darbības vērtēšanas komisijas izveidošanas kārtību un kompetenci, kuras darba uzdevumus veic Latvijas Investīciju un attīstības aģentūra (turpmāk – LIAA).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jaunuzņēmumu ekosistēmu veido 447 jaunuzņēmumi (informācija uz 27.06.2025. no startin.lv datubāzes) un 2022.-2023.g. Latvijas jaunuzņēmumi piesaistīja 109 milj euro investīciju.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gada 11. jūlijā stājās spēkā grozījumi Likumā, kurā tiek paredzēts, ka Jaunuzņēmumus pārstāvošo organizāciju iesaisti jaunuzņēmuma izveides popularizācijas un aktivitāšu īstenošanā, kas veicina jaunuzņēmumu komercdarbības vides pilnveidošanu, nodrošina atbilstoši Likuma 3.</w:t>
      </w:r>
      <w:r w:rsidR="00000000" w:rsidRPr="00000000" w:rsidDel="00000000">
        <w:rPr>
          <w:vertAlign w:val="superscript"/>
          <w:rtl w:val="0"/>
        </w:rPr>
        <w:t xml:space="preserve">1</w:t>
      </w:r>
      <w:r w:rsidR="00000000" w:rsidRPr="00000000" w:rsidDel="00000000">
        <w:rPr>
          <w:rtl w:val="0"/>
        </w:rPr>
        <w:t xml:space="preserve"> panta trešajā daļā minētajiem Ministru kabineta noteikumiem.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2020. gada 22. septembra noteikumu Nr. 588 “Ekonomikas ministrijas nolikums” (turpmāk – MK noteikumi Nr. 588) 5.10. apakšpunktu Ekonomikas ministrijas (turpmāk – Ministrija) uzdevums ir pilnveidot komercdarbības vidi un koordinēt komercdarbības atbalsta instrumentus. Ņemot vērā to, ka jaunuzņēmumu nozares attīstība ir viens no būtiskākajiem priekšnoteikumiem Latvijas tautsaimniecības attīstībai, Ministrija īsteno pasākumus, kas vērsti uz jaunuzņēmumu komercdarbības vides pilnveidošanu. Kā viens no nozīmīgākajiem instrumentiem šajā jomā ir Jaunuzņēmumu ekosistēmas attīstības stratēģija 2022.–2025. gadam (turpmāk – Stratēģija), kas izstrādāta ciešā sadarbībā ar jaunuzņēmumu nozares pārstāvošajām organizācijām un nozares ekspertiem.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Stratēģijas mērķis ir veidot ilgtspējīgu, starptautiski konkurētspējīgu jaunuzņēmumu vidi, kas veicina inovatīvu uzņēmumu izveidi, attīstību un piesaista augstas pievienotās vērtības investīcijas Latvijā. Stratēģija nosaka sasniedzamos mērķus - veicināt investīciju piesaisti jaunuzņēmumos par 300 milj. euro un palielināt nodarbināto skaitu jaunuzņēmumos par 1500.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Stratēģijas ietvaros tiek īstenoti vairāki būtiski pasākumi, tostarp pirmsakcelerācijas un akcelerācijas programmas, jaunuzņēmumu atbalsta iniciatīvas reģionos, sadarbības veicināšana starp publisko un privāto sektoru, kā arī starptautiskās atpazīstamības stiprināšana.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nozares sniegto informāciju pēdējo 10 gadu laikā Latvijas jaunuzņēmumi ir piesaistījuši 620 miljonus EUR investīcijās. 2022.gadā Latvijas jaunuzņēmumi ir piesaistījuši investīcijas 93 miljonu EUR apmērā un ir nodrošinātas vairāk nekā 3200 darba vietas, kas sekmē jaunuzņēmumu ekosistēmā inovatīvu biznesa ideju ieplūdi, augstas pievienotās vērtības produktu un pakalpojumu izstrādi, investīciju piesaisti un veicina tautsaimniecības pāreju uz modernu un inovatīvu ekonomiku. Stratēģijas mērķis ir veicināt jaunuzņēmumu nozares ekonomisko attīstību, ārvalstu investīciju piesaisti agrīnās un sēklas stadijas jaunuzņēmumiem, investoru kustības attīstību Latvijā, finansējumu riska kapitāla ekosistēmas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Stratēģija sniedz ieguldījumu arī Nacionālās industriālās politikas pamatnostādnēs 2021.-2027. gadam un Ministrijas informatīvā ziņojuma “Par Latvijas ekonomikas attīstība” noteikto mērķu sasniegšanai. Ministrija ir izvirzījusi mērķi – līdz 2035. gadam panākt, lai Latvijas IKP apjomi sasniedz 83 mljrd. EUR, kas nozīmē ekonomikas apjomam ir jādubultojas, salīdzinājumā ar 2023. gada situāciju. Piešķirtā finansējuma ietvaros Latvijas jaunuzņēmumu ekosistēmas pārstāvošās organizācijas plāno īstenot jaunuzņēmumu ekosistēmas veicinošas aktivitātes.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Salīdzinājumā ar iepriekšējo gadu piesaistītām investīcijām, tiek prognozēts, ka Latvijas jaunuzņēmumi 2025. gadā piesaistīs investīcijas vismaz 50 miljonu euro apmērā un nodrošinās 150 jaunas darba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Latvijas Jaunuzņemumu asociācijas datu bāzē pieejamās informācijas 2023.gadā</w:t>
      </w:r>
      <w:r w:rsidR="00000000" w:rsidRPr="00000000" w:rsidDel="00000000">
        <w:rPr>
          <w:vertAlign w:val="superscript"/>
          <w:rtl w:val="0"/>
        </w:rPr>
        <w:t xml:space="preserve">[1]</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447 jaunuzņēmumos strādāja 2898 darbinieki, no kuriem lielākā daļa ir augsti kvalificēta, un kuru vidējā neto alga ir 2500 euro mēnesī;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jaunuzņēmumu vidējais apgrozījums bija 22,5 miljoni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kopējie maksājumi valsts budžetā pārsniedz 57,2 miljonus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2022. gadā Latvijas jaunuzņēmumi piesaistīja 61 miljonu euro investīciju.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stratēģijas īstenošana būtu efektīva un sistēmiska, kā arī lai nodrošinātu pēctecību un mērķtiecīgu valsts iesaisti jaunuzņēmumu atbalsta funkcijas nodrošināšanā ilgtermiņā, ir secināts, ka nepieciešama aktīvāka jaunuzņēmumu atbalsta pasākumu organizēšana un būtisku lomu efektīvai Latvijas kā jaunuzņēmumiem atbalstošas tēla organizēšanu ieņem ne tikai līdz šim izveidotās valsts institūcijas (piemēram LIAA kas ir šīs ekosistēmas kontaktpuntks), bet arī nozares ekspertīze un komunikācijas kanāli.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secināms, lai sasniegtu Stratēģijā noteiktos mērķus, ir būtiski jākāpina jaunuzņēmumu atbalsta aktivitātes un jāpiesaista gan privātais, gan valsts pārvaldē esošais finansējums, lai sniegtu ieguldījumu kopējā Latvijas tautsaimniecības attīstībā. Ņemot vērā minēto, papildus jau esošajam jaunuzņēmumu atbalsta piešķiršanas regulējumam, jānosaka jauni, vienkāršoti Stratēģijas mērķos balstīti sadarbības un finansējuma piesaistes veidi, kas nodrošinātu jaunuzņēmumu kopienai pielāgotu iesaisti Latvijas tautsaimniecības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likumā “Par valsts budžetu 2024. gadam un budžeta ietvaru 2024., 2025. un 2026. gadam” Ministrijas budžeta programmā 35.00.00 “Valsts atbalsta programmas” ar prioritārajam pasākumam “Jaunuzņēmumu atbalstam” 2024. – 2026. gadam ir paredzēts finansējums 400 000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lai būtu skaidra kārtība, kādā minētais finansējums tiek izmantots, kā arī noteikto skaidru tiesisko ietvaru jaunuzņēmumiem un to pārstāvošajām organizācijām, 2025. gada 11. jūlijā spēkā stāsies grozījumi Jaunuzņēmumu darbības atbalsta likumā, kurā tiek paredzēts, ka  Ministrija var pilnvarot Organizācijas īstenot jaunuzņēmumu komercdarbības vides pilnveidošanas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w:t>
      </w:r>
      <w:r w:rsidR="00000000" w:rsidRPr="00000000" w:rsidDel="00000000">
        <w:rPr>
          <w:rtl w:val="0"/>
        </w:rPr>
        <w:t xml:space="preserve"> https://www.liaa.gov.lv/sites/liaa/files/media_file/latvian_startup_report_2023.pdf</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Vispārējie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Nr. 588 4. punktu Ministrijas kompetencē ir izstrādāt, organizēt un koordinēt inovāciju attīstības politiku, lai to nodrošinātu, atbilstoši MK noteikumu Nr. 588 5.10. apakšpunktam, Ministrija pilnveido komercdarbības vidi.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pārvaldes iekārtas likuma 49. panta pirmajai daļai var secināt, ka ir pietiekams pamats uzskatīt, ka Organizācijas jaunuzņēmumu komercdarbības vides pilnveidošanas pasākums varētu īstenot tik efektīvi, lai salīdzinoši īsā laika termiņā īstenotu Stratēģijā noteiktos mērķus. Līguma ietvaros Organizācijas tiks deleģētas veikt jaunuzņēmumu komercdarbības vides pilnveidošanas pasākumu īstenošanu, kas neietver pārvaldes lēmuma pieņemšanu vai sagatavošanu, bet īstenot aktivitātes, kas veicina jaunuzņēmumu komercdarbības vides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ar 2025. gada 11. jūlija Likuma grozījumiem tiek paredzēts, ka Ministrija var pilnvarot Organizācijas iesaistīties jaunuzņēmumu aktivitāšu veicināšanā un investīciju piesaistē, papildus jau Likumā noteiktajām atbalsta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ievērojot abus augstāk minētos likumus kopsakarā, lai pilnvarotu Organizācijas īstenot jaunuzņēmumu komercdarbības vides pilnveidošanas pasākumus, ir izstrādāts Noteikumu projekts, saskaņā ar Likuma 3.</w:t>
      </w:r>
      <w:r w:rsidR="00000000" w:rsidRPr="00000000" w:rsidDel="00000000">
        <w:rPr>
          <w:vertAlign w:val="superscript"/>
          <w:rtl w:val="0"/>
        </w:rPr>
        <w:t xml:space="preserve">1</w:t>
      </w:r>
      <w:r w:rsidR="00000000" w:rsidRPr="00000000" w:rsidDel="00000000">
        <w:rPr>
          <w:rtl w:val="0"/>
        </w:rPr>
        <w:t xml:space="preserve"> pantu, kas nosaka atbalstāmos pasākumus jaunuzņēmumu komercdarbības vides pilnveidošanai, to izpildes nosacījumus un īstenošanas kārtību, jaunuzņēmumus pārstāvošo organizāciju kvalifikācijas nosacījumus līgumu slēgšanai, jaunuzņēmumus pārstāvošajām organizācijām piemērojamā komercdarbības atbalsta piešķiršanas nosacījumus un atbalstāmo pasākumu īstenošanai pieejamo valsts finansējuma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jaunuzņēmumu komercdarbības vide - ekonomisko, tiesisko, sociālo apstākļu kopums, kas ietekmē jaunuzņēmumu izveidi, darbību un attīstību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jaunuzņēmumu pārstāvošās organizācijas – publiskas un privātas personas, kas pārstāv esošos un topošos jaunuzņēmumus un ir iesaistīti jaunuzņēmumu aktivitāšu organizēšanā un nodrošināšanā, kā arī jaunuzņēmumu vajadzību komunikācijā ar valsts organizācijām, atbilstoši kvalifikācijas kritērijiem, kas noteikti šo noteikumu 15.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tiek sniegts Organizācijām atbilstoši valsts budžetā paredzētajam finansējumam, Ministrijai deleģējot jaunuzņēmumu komercdarbības vides pilnveidošanas pasākumu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Atbalstāmie pasākumi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Jaunuzņēmumu komercdarbības pilnveidošanai tiek paredzēts, ka tiks īstenotas dažādas aktivitātes, kas vērstas uz dažādiem jaunuzņēmumu attīstības aspektiem. Noteikumu projekta ietvaros ir atbalstāmas šādas aktivitātes: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jaunuzņēmumu apmācības, t.sk., pirms akcelerācijas posma,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zinātņietilpīgu komandu inkubācijas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apmācību īstenošana iespējkapitāla investoriem;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regulāru konsultāciju un investīciju sesiju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apmācības cikla biznesa eņģeļu investoriem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starptautiskas konferences organizēšana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iespējkapitāla investoru kontaktbiržas organizēšana;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starptautiska mēroga forumu organizēšana;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valsts tēla popularizēšana ārzemēs ar nolūku piesaistīt ārzemju investorus un mediju uzmanību.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atlases ietvaros iesniegumos finansējums pārsniegs Noteikumu projekta 3. punkta minēto finansējumu, lēmumu par finansējuma piešķiršanu pieņems vērtējot tādus kritērijus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plānotās privātās investīcijas apmērs pret publiskā finansējuma apmēru atbalsta pasākumā;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plānotais apmeklētāju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plānotais atbalsta pasākuma popularizēšanas pasākumu skaits.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pasākumu ietvaros tiek radītas iespējas jaunuzņēmumiem tiešā veidā iepazīstināt investorus ar savām idejām un produktiem. Tāpat paredzēts stiprināt Latvijas jaunuzņēmumu starptautisko atpazīstamību, veicinot to pārstāvību globālos pasākumos un uzrunājot ārvalstu medijus un investorus.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definētas arī attiecināmās izmaksas – t.sk. pasākumu organizēšanas, mārketinga, tehniskās nodrošināšanas, darbinieku atalgojuma un citas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Vērtēšana un finansējuma piešķiršana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nosaka, ka Organizāciju atlase notiek atklātā atlases procedūrā, vērtējot vispārējos iesnieguma vērtēšanas kritērijus un Organizācijas kvalifikācijas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caurskatāmu un objektīvu atlases procesu, tiek piemēroti vispārējie iesnieguma vērtēšanas kritēriji, kas nosaka formālās un saturiskās prasības iesniegumam. Pirmkārt, tiek pārbaudīts, vai iesniegums ir iesniegts noteiktajā termiņā, vai tas ir aizpildīts atbilstoši izstrādātajai veidlapai un parakstīts no tiesīgas personas puses. Tāpat tiek vērtēta iesnieguma pilnība – vai tam pievienoti visi nepieciešamie pamatojošie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Svarīgs vērtēšanas aspekts ir iesniegtā atbalsta pasākuma atbilstība Noteikumu projekta 4. punktā izvirzītajiem mērķiem, kā arī tas, vai ir precīzi aprakstīta pasākuma specifika un mērķauditorija. Detalizētāks pasākuma apraksts ietver gan tā mērķi un atbilstību Noteikumu projekta 4. punktam, gan arī īstenošanas formu, mērķgrupu un sagaidāmos rezultātus. Tāpat tiek sniegta informācija par iesaistītajiem sadarbības partneriem un viņu līdzfinansējuma apjomu, skaidri definēts atbalsta saņēmēju loks un to atlases kritēriji. Nepieciešams norādīt arī pasākuma īstenošanas ilgumu un tam nepieciešamo finansējumu, kā arī plānoto komercdarbības atbalsta apmēru un izmaksas, kas paredzētas juridiskām vai fiziskām personām. Noslēgumā tiek noteikti snieguma un ietekmes novērtēšanas rādītāji, piemēram, jaunuzņēmumu skaits, kas saņēmuši atbalstu, ieguldīto investīciju apjoms un pasākumu apmeklētība.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detalizēts vērtēšanas un apraksta ietvars ļauj izvērtēt atbalsta pasākuma potenciālo efektivitāti un nodrošina vienlīdzīgus nosacījumus visiem pretendējošajiem iesniedzējiem.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tiek noteikts, ka finansējums var tikt piešķirts, pamatojoties uz precīzi definētiem rezultātiem un mērķiem, nodrošinot caurspīdīgu un mērķtiecīgu līdzekļu izlietojumu.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Vērtēšanas kārtību un pieteikuma veidlapas izstrādās LIAA. Tās tiks publicētas publiski pieejamā formā LIAA tīmekļvietnē business.gov.lv, nodrošinot atklātību un vienlīdzīgu piekļuvi informācijai visiem interesentiem. Atlasi plānots organizēt vienu reizi gadā. Par nākamā gada finansējumu LIAA organizē atlasi līdz 1. decembrim. Pēc Noteikumu projekta spēkā stāšanās ne vēlāk kā divu mēnešu laikā LIAA sagatavo un apstiprina atlases nolikuma dokumentāciju. LIAA izsludina atlasi par 2026. gada finansējuma piešķiršanu organizācijām līdz 2025. gada 1. novembrim.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objektīvu un pārskatāmu projektu izvērtēšanas procesu, LIAA pēc vērtēšanas kritēriju piemērošanas veic iesniegumu sarindošanu. Šī kārtība nodrošina, ka finansējumu prioritāri saņem iesniegumi ar lielāku privāto ieguldījumu īpatsvaru, kas apliecina augstāku komersanta līdzfinansējuma gatavību un projekta ilgtspēju.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atklātās atlases rezultātā nav pieteicies neviens pretendents kāda pasākuma ietvaros vai neviens no pieteikumiem nav atzīts par atbilstošu, LIAA organizē atkārtotu atlasi. Šāda pieeja ļauj nodrošināt, ka pieejamais finansējums tiek izmantots efektīvi un tiek dota papildu iespēja potenciālajiem pretendentiem sagatavot kvalitatīvus pieteikumus. Ja arī pēc atkārtotas atlases neviens nepiesakās, Ministrija pieņem lēmumu par neizmantotā finansējuma novirzīšanu citiem atbilstošiem mērķiem saskaņā ar noteikumu 3. punktam un 5.10. apakšpunktiem.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pēc iesniegumu sarindošanas secībā, kas noteikta 14. punktā, pieejamais finansējums nav pietiekams visiem kvalificētajiem projektiem, LIAA informē Ministriju. Ministrija tad lemj par iespējamo finansējuma pārdali, ņemot vērā noteikumu 3. punktā noteiktos mērķus. Tas nodrošina elastību resursu izmantošanā un iespēju atbalstīt pēc iespējas vairāk kvalitatīvu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LIAA ar rīkojumu izveido vērtēšanas komisiju, kuras sastāvā ir vismaz viens Ministrijas pārstāvis. Vērtēšanas komisija izvērtē un pieņem lēmumu par Organizācijas atbilstību Noteikuma projektā ietvertajiem nosacījumiem un pieņem lēmumu par finansējuma piešķiršanu vienā no šādiem veidiem: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1. Finansējuma piešķiršana, kas nekvalificējas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tika lemts Tautsaimniecības, agrārās, vides un reģionālās politikas komisija  2025. gada 14. maija sēdē skatot Likuma grozījumus pirms nodošanas izskatīšanai Saeimā otrajā lasījumā, ir būtiski atbalstīt un piešķirt finansējumu organizācijām pasākumu īstenošanai visas jaunuzņēmumu ekosistēmas attīstībai, kas šīm organizācijām nekvalificējas kā individuāls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finansējums ir paredzēts vietējās jaunuzņēmumu ekosistēmas attīstībai Latvijā, nevis atsevišķu jaunuzņēmumu, jaunuzņēmumu grupu vai organizāciju atbalstam, turklāt plānotā funkcija tiek īstenota kā valsts (Ekonomika ministrijas) deleģēta funkcija, kuras īstenotājus atlasa caurskatāmā, atklātā un nediskriminējošā veidā un atbilstoši Likuma 3.</w:t>
      </w:r>
      <w:r w:rsidR="00000000" w:rsidRPr="00000000" w:rsidDel="00000000">
        <w:rPr>
          <w:vertAlign w:val="superscript"/>
          <w:rtl w:val="0"/>
        </w:rPr>
        <w:t xml:space="preserve">1</w:t>
      </w:r>
      <w:r w:rsidR="00000000" w:rsidRPr="00000000" w:rsidDel="00000000">
        <w:rPr>
          <w:rtl w:val="0"/>
        </w:rPr>
        <w:t xml:space="preserve"> panta trešajā daļas deleģējumam, kā arī Organizāciju piedāvātie pakalpojumi būs publiski un brīvi pieejami ikvienam jaunuzņēmumam, to pārstāvim vai investoriem, tad var secināt, ka finansējums, kas piešķirts Mindeistrijas deleģējuma ietvaros neatbilst Komercdarbības atbalsta kontroles likuma 5. panta ceturtās daļas nosacījumam, proti, finansiālā palīdzība neietekmē tirdzniecību un nekropļo konkurenci Eiropas Savienības iekšējā tirgū. Piemēram, ja pēc dalības starptautiskā konferencē Latvijā izveidojas jaunuzņēmums, tas nenozīmē, ka jaunuzņēmums iegūst priekšrocības sava produkta vai pakalpojuma tirdzniecībai.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Nr. 588 4. punktu Ministrijas kompetencē ir izstrādāt, organizēt un koordinēt inovāciju attīstības politiku, lai to nodrošinātu, atbilstoši MK noteikumu Nr. 588 5.10. apakšpunktam, Ministrija pilnveido komercdarbības vidi. Ņemot vērā līdzšinējo pozitīvo sadarbību ar Organizācijām Likuma īstenošanā, kā arī to, ka Organizāciju izmantotās metodes un kompetence atšķiras no Ministrijas īstenotajiem pasākumiem jaunuzņēmumu komercdarbības vidē, Ministrija uzskata, ka komercdarbības vides pilnveidošanas nolūkos, lai sasniegtu Stratēģijā izvirzītos mērķus Organizācijām būtu pilnvarojama daļa no MK noteikumu Nr. 588 5.10. apakšpunktā noteiktā uzdevuma, proti, nosakāma jaunuzņēmumu komercdarbības vides pilnveidošana. Noteikumu projekta 2. punktā definēts pilnvarojama uzdevums, proti, ka Organizācijas īstenos aktivitātes, tādējādi nodrošinot efektīvu komercdarbības pilnveidošanas vides uzdevuma īstenošanu jaunuzņēmumu nozarē valsts budžeta līdzekļu ietvaros. Vērtējot Organizāciju līdzšinējās darbības rezultātu efektivitāti, var secināt, ka tādi kritēriji kā jomas pieredze, zināšanas, prasmes liecina augstu profesionalitāti.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tādu aktivitāšu īstenošanai Organizācijai piešķirtais finansējums nekvalificējas kā komercdarbības atbalsts, ja tas tiek izlietots deleģētā uzdevuma īstenošanai un ir paredzēts Noteikumu projekta 4. punktā minētiem pasākumiem vai ar tiem saistītām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2. Komercdarbības atbalsts, atbilstoši Eiropas Komisijas 2023. gada 13. decembra Regulas (ES) Nr. 2023/2831 par Līguma par Eiropas Savienības darbību 107. un 108. panta piemērošanu de minimis atbalstam (turpmāk – Komisijas regula Nr. 2023/2831)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ir izvērtējusi Noteikumu projekta 4. punktā minēto pasākumu atbilstību komercdarbības atbalsta nosacījumiem un ir secinājusi, ka, īstenojot atsevišķus Noteikumu projekta 4. punktā minētos pasākumus, kas tiek īstenoti deleģētās funkcijas ietvaros, var izveidoties situācija, ka piešķirtais finansējums atbilstu komercdarbības atbalsta nosacījumiem. Minētā pasākumu grupa saistīta ar tāda atbalsta sniegšanu, kur faktiski labuma gūšana no piešķirtā finansējuma notiek  gala labuma guvēja līmenī, tādējādi atbalsts būtu uzskaitāms uz konkrētu juridisku vai fizisku personu </w:t>
      </w:r>
      <w:r w:rsidR="00000000" w:rsidRPr="00000000" w:rsidDel="00000000">
        <w:rPr>
          <w:i w:val="1"/>
          <w:rtl w:val="0"/>
        </w:rPr>
        <w:t xml:space="preserve">de minimis</w:t>
      </w:r>
      <w:r w:rsidR="00000000" w:rsidRPr="00000000" w:rsidDel="00000000">
        <w:rPr>
          <w:rtl w:val="0"/>
        </w:rPr>
        <w:t xml:space="preserve"> atbalsta veidā. Ņemot vērā minēto, īstenojot šādus pasākumus – jaunuzņēmumu apmācības, zinātņietilpīgu komandu inkubācijas īstenošana, iespējkapitāla investoru apmācības, regulāru konsultāciju un investīciju sesiju īstenošana, apmācības cikls biznesa eņģeļu investoriem, finansējums ir piešķirams gala labuma guvējiem kā </w:t>
      </w:r>
      <w:r w:rsidR="00000000" w:rsidRPr="00000000" w:rsidDel="00000000">
        <w:rPr>
          <w:i w:val="1"/>
          <w:rtl w:val="0"/>
        </w:rPr>
        <w:t xml:space="preserve">de minimis</w:t>
      </w:r>
      <w:r w:rsidR="00000000" w:rsidRPr="00000000" w:rsidDel="00000000">
        <w:rPr>
          <w:rtl w:val="0"/>
        </w:rPr>
        <w:t xml:space="preserve"> atbalsts saskaņā ar Komisijas regulas Nr. 2023/2831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ja Organizācija plāno organizēt jaunuzņēmumu apmācības – šādā situācijā organizācijai tiek piešķirts </w:t>
      </w:r>
      <w:r w:rsidR="00000000" w:rsidRPr="00000000" w:rsidDel="00000000">
        <w:rPr>
          <w:i w:val="1"/>
          <w:rtl w:val="0"/>
        </w:rPr>
        <w:t xml:space="preserve">de minimis</w:t>
      </w:r>
      <w:r w:rsidR="00000000" w:rsidRPr="00000000" w:rsidDel="00000000">
        <w:rPr>
          <w:rtl w:val="0"/>
        </w:rPr>
        <w:t xml:space="preserve"> atbalsts atbilstoši iesniegumā norādītajam plānotajam finansējumam. Ja apmācību ietvaros organizācija paredz piešķirt </w:t>
      </w:r>
      <w:r w:rsidR="00000000" w:rsidRPr="00000000" w:rsidDel="00000000">
        <w:rPr>
          <w:i w:val="1"/>
          <w:rtl w:val="0"/>
        </w:rPr>
        <w:t xml:space="preserve">de minimis</w:t>
      </w:r>
      <w:r w:rsidR="00000000" w:rsidRPr="00000000" w:rsidDel="00000000">
        <w:rPr>
          <w:rtl w:val="0"/>
        </w:rPr>
        <w:t xml:space="preserve"> atbalstu arī juridiskām vai fiziskām personām, tai ir pienākums ne vēlāk kā 30 dienu laikā pēc līguma stāšanās spēkā iesniegt LIAA detalizētu finansējuma sadalījumu. Šajā pārskatā jānorāda, kāda daļa no kopējā finansējuma plānota kā komercdarbības atbalsts un kā tas tiks sadalīts starp konkrētajām juridiskajām vai fiziskajām personām. Saņemot attiecīgo informāciju, LIAA veic attiecīgus precizējumus </w:t>
      </w:r>
      <w:r w:rsidR="00000000" w:rsidRPr="00000000" w:rsidDel="00000000">
        <w:rPr>
          <w:i w:val="1"/>
          <w:rtl w:val="0"/>
        </w:rPr>
        <w:t xml:space="preserve">de minimis</w:t>
      </w:r>
      <w:r w:rsidR="00000000" w:rsidRPr="00000000" w:rsidDel="00000000">
        <w:rPr>
          <w:rtl w:val="0"/>
        </w:rPr>
        <w:t xml:space="preserve"> atbalsta uzskaites sistēmā, nodrošinot atbilstību regulas prasībām un pārskatāmību attiecībā uz piešķirto komercdarbības atbalsta apmēru. Saņemot informāciju no Organizācijas, LIAA veic izvērtējumu par gala labuma guvējiem atbilstoši Komisijas regulas (ES) Nr. 1407/2013 prasībām, kas attiecas uz de minimis atbalstu. Pamatojoties uz veikto izvērtējumu, LIAA ievada datus par piešķirto atbalstu </w:t>
      </w:r>
      <w:r w:rsidR="00000000" w:rsidRPr="00000000" w:rsidDel="00000000">
        <w:rPr>
          <w:i w:val="1"/>
          <w:rtl w:val="0"/>
        </w:rPr>
        <w:t xml:space="preserve">de minimis</w:t>
      </w:r>
      <w:r w:rsidR="00000000" w:rsidRPr="00000000" w:rsidDel="00000000">
        <w:rPr>
          <w:rtl w:val="0"/>
        </w:rPr>
        <w:t xml:space="preserve"> uzskaites sistēmā, nodrošinot normatīvo aktu ievērošanu un pārskatāmību attiecībā uz komercdarbības atbalsta piešķiršanu gan organizācijai, gan attiecīgajiem gala labuma guvējiem.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Pieņemot lēmumu par </w:t>
      </w:r>
      <w:r w:rsidR="00000000" w:rsidRPr="00000000" w:rsidDel="00000000">
        <w:rPr>
          <w:i w:val="1"/>
          <w:rtl w:val="0"/>
        </w:rPr>
        <w:t xml:space="preserve">de minimis</w:t>
      </w:r>
      <w:r w:rsidR="00000000" w:rsidRPr="00000000" w:rsidDel="00000000">
        <w:rPr>
          <w:rtl w:val="0"/>
        </w:rPr>
        <w:t xml:space="preserve"> atbalstu, LIAA pārbauda vai plānotais </w:t>
      </w:r>
      <w:r w:rsidR="00000000" w:rsidRPr="00000000" w:rsidDel="00000000">
        <w:rPr>
          <w:i w:val="1"/>
          <w:rtl w:val="0"/>
        </w:rPr>
        <w:t xml:space="preserve">de minimis</w:t>
      </w:r>
      <w:r w:rsidR="00000000" w:rsidRPr="00000000" w:rsidDel="00000000">
        <w:rPr>
          <w:rtl w:val="0"/>
        </w:rPr>
        <w:t xml:space="preserve"> atbalsts kopā ar iepriekšējos trijos gados, skaitot no atbalsta piešķiršanas dienas, piešķirto </w:t>
      </w:r>
      <w:r w:rsidR="00000000" w:rsidRPr="00000000" w:rsidDel="00000000">
        <w:rPr>
          <w:i w:val="1"/>
          <w:rtl w:val="0"/>
        </w:rPr>
        <w:t xml:space="preserve">de minimis</w:t>
      </w:r>
      <w:r w:rsidR="00000000" w:rsidRPr="00000000" w:rsidDel="00000000">
        <w:rPr>
          <w:rtl w:val="0"/>
        </w:rPr>
        <w:t xml:space="preserve"> atbalstu viena vienota uzņēmuma līmenī nepārsniedz Komisijas regulas Nr. 2023/2831 3. panta 2. punktā noteikto maksimālo </w:t>
      </w:r>
      <w:r w:rsidR="00000000" w:rsidRPr="00000000" w:rsidDel="00000000">
        <w:rPr>
          <w:i w:val="1"/>
          <w:rtl w:val="0"/>
        </w:rPr>
        <w:t xml:space="preserve">de minimis</w:t>
      </w:r>
      <w:r w:rsidR="00000000" w:rsidRPr="00000000" w:rsidDel="00000000">
        <w:rPr>
          <w:rtl w:val="0"/>
        </w:rPr>
        <w:t xml:space="preserve"> atbalsta apmēru, ievērojot Komisijas regulas Nr. 2023/2831 3. panta 8. punkta nosacījumus uzņēmumu apvienošanās vai iegādes gadījumā un 3. panta 9. punkta nosacījumus uzņēmuma sadalīšanas gadījumā. Viens vienots uzņēmums atbilst Komisijas regulas Nr. 2023/2831 2.panta 2.punktā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ietvaros piešķirto </w:t>
      </w:r>
      <w:r w:rsidR="00000000" w:rsidRPr="00000000" w:rsidDel="00000000">
        <w:rPr>
          <w:i w:val="1"/>
          <w:rtl w:val="0"/>
        </w:rPr>
        <w:t xml:space="preserve">de minimis</w:t>
      </w:r>
      <w:r w:rsidR="00000000" w:rsidRPr="00000000" w:rsidDel="00000000">
        <w:rPr>
          <w:rtl w:val="0"/>
        </w:rPr>
        <w:t xml:space="preserve"> atbalstu drīkst kumulēt ar citu </w:t>
      </w:r>
      <w:r w:rsidR="00000000" w:rsidRPr="00000000" w:rsidDel="00000000">
        <w:rPr>
          <w:i w:val="1"/>
          <w:rtl w:val="0"/>
        </w:rPr>
        <w:t xml:space="preserve">de minimis</w:t>
      </w:r>
      <w:r w:rsidR="00000000" w:rsidRPr="00000000" w:rsidDel="00000000">
        <w:rPr>
          <w:rtl w:val="0"/>
        </w:rPr>
        <w:t xml:space="preserve"> atbalstu, tai skaitā attiecībā uz vienām un tām pašām attiecināmajām izmaksām, līdz Komisijas regulas Nr. 2023/2831 3.panta 2.punktā noteiktajam attiecīgajam robežlielumam, kā arī drīkst kumulēt ar citiem komercdarbības atbalsta regulējumiem, tai skaitā attiecībā uz vienām un tām pašām attiecināmajām izmaksām, ja netiek pārsniegta attiecīgā maksimālā atbalsta intensitāte vai atbalsta summa, kāda noteikta komercdarbības atbalsta programmā, </w:t>
      </w:r>
      <w:r w:rsidR="00000000" w:rsidRPr="00000000" w:rsidDel="00000000">
        <w:rPr>
          <w:i w:val="1"/>
          <w:rtl w:val="0"/>
        </w:rPr>
        <w:t xml:space="preserve">ad-hoc </w:t>
      </w:r>
      <w:r w:rsidR="00000000" w:rsidRPr="00000000" w:rsidDel="00000000">
        <w:rPr>
          <w:rtl w:val="0"/>
        </w:rPr>
        <w:t xml:space="preserve">lēmumā vai Eiropas Komisijas lēmumā.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De minimis</w:t>
      </w:r>
      <w:r w:rsidR="00000000" w:rsidRPr="00000000" w:rsidDel="00000000">
        <w:rPr>
          <w:rtl w:val="0"/>
        </w:rPr>
        <w:t xml:space="preserve"> atbalstu ar citu </w:t>
      </w:r>
      <w:r w:rsidR="00000000" w:rsidRPr="00000000" w:rsidDel="00000000">
        <w:rPr>
          <w:i w:val="1"/>
          <w:rtl w:val="0"/>
        </w:rPr>
        <w:t xml:space="preserve">de minimis</w:t>
      </w:r>
      <w:r w:rsidR="00000000" w:rsidRPr="00000000" w:rsidDel="00000000">
        <w:rPr>
          <w:rtl w:val="0"/>
        </w:rPr>
        <w:t xml:space="preserve"> atbalstu par vienām un tām pašām izmaksām var apvienot, ja pēc atbalstu apvienošanas atbalsta vienībai vai izmaksu pozīcijai attiecīgā maksimālā atbalsta intensitāte nepārsniedz 100%.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lēmuma pieņemšanas par finansējuma piešķiršanu LIAA organizē trīspusēja līguma noslēgšanu. Atbilstoši Valsts pārvaldes iekārtas likumam Ministrija ar jaunuzņēmumus pārstāvošo organizāciju slēdz deleģējuma līgumu, kura ietvaros LIAA nodrošina finansējuma izlietošanas uzraudzību. Šīs uzraudzības ietvaros LIAA pārbauda finansējuma izlietošanas pamatojošos dokumentus un to atbilstību attiecināmajām izmaksām, vismaz reizi pusgadā pārbauda organizācijai noteikto rādītāju sasniegšanu, kā arī informē Ministriju par rādītāju progresu un finansējuma apguvi. Savukārt Ministrija balstoties uz atbalstāmajos pasākumos sasniegtajiem rezultātiem, varēs turpmāk lemt par turpmāk nepieciešamajiem atbalsta instrumentiem jaunuzņēmumu veidošanai un attīstībai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Finansējuma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tiek sniegts Organizācijām atbilstoši valsts budžetā paredzētajam un atlases kārtā iegūtajam finansējumam, Ministrijai deleģējot jaunuzņēmumu komercdarbības vides pilnveidošanas pasākumu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Jaunuzņēmumu darbību veicināšanai un investīciju piesaistei jaunuzņēmumos nepieciešamais finansējums 2025.gadā un turpmāk ik gadu 400 000 euro apmērā tiks nodrošināts likumā par “Par valsts budžetu 2025.gadam un budžeta ietvaru 2025., 2026. un 2027.gadam” Ministrijas budžeta programmā 35.00.00 “Valsts atbalsta programmas” prioritārajam pasākumam “Jaunuzņēmumu atbalstam” piešķirto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 piešķirtā atbalsta summa vienam iesnieguma iesniedzējam, neatkarīgi no iesniegto iesniegumu vai tajos iekļauto atbalstāmo pasākumu skaita, nepārsniedz 100 000 EUR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Jaunuzņēmumu pārstāvošo organizāciju kvalifikācijas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iekļauti kritēriji, kas jāizpilda organizācijai, lai tā varētu pretendēt uz valsts atbalstu šo noteikumu ietvaros. Galvenais priekšnoteikums ir juridiskas personas statuss un pierādāma pieredze jaunuzņēmumu ekosistēmā vismaz divu gadu garumā.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Organizācijai jāspēj pierādīt, ka tā pārstāv vismaz 50 ekonomiski aktīvus jaunuzņēmumus vai regulāri īsteno aktivitātes jaunuzņēmumu veidošanas atbalstam. Tāpat tiek prasīta iepriekšēja pieredze vismaz vienā no atbalstāmo pasākumu veidiem, kā arī starptautisku investoru piesaistē.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pārliecinātos, ka norādītie jaunuzņēmumi ir ekonomiski aktīvi, informācija tiks skatīta publiski pieejamās datubāzes, kā piemēram, Uzņēmuma reģistrā un Valsts ieņēmuma dienesta datubāzē.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apliecinātu šo nosacījumu izpildi, organizācijai jāiesniedz dokumenti, kas apliecina veikto aktivitāšu rezultātus, sadarbības līgumus ar nozaru pārstāvjiem, investoriem un citiem partneriem, kā arī informāciju par piesaistīto investīciju darījumiem. Šī kvalifikācijas pārbaude kalpo kā mehānisms, lai valsts atbalsts nonāktu pie pieredzējušiem un profesionāliem īstenotājiem, kas spēj radīt maksimālu ietekmi uz jaunuzņēmumu vides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atlasē Organizāciju iesniegumos finansējums pārsniegs Noteikumu projektā minēto finansējumu, lēmumu par finansējuma piešķiršanu pieņems un pieteikumus sarindos pēc Noteikumu projekta 13. punktā minētajiem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administratīvo slogu gan vērtēšanas komisijas darbā, gan Organizācijām sagatavojot un iesniedzot informāciju, Noteikumu projekts paredz iespēju, ka ar tām Organizācijām ar kurām iepriekšējā gadā bija noslēgts līgums par pasākumu īstenošanu, un tas netika pirms laika izbeigts, vērtē tikai ar organizāciju saistītos mainīgos apstākļus- proti, nodokļu parādu un ekonomiski aktīvo biedru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ietvaros LIAA pārbauda finansējuma izlietošanas pamatojošos dokumentus un to atbilstību attiecināmajām izmaksām, vismaz reizi pusgadā pārbauda organizācijai noteikto rādītāju sasniegšanu, kā arī informē Ministriju par rādītāju progresu un finansējuma apguvi.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Organizācijai ir pienākums nekavējoties informēt LIAA par jebkādām izmaiņām vai pārkāpumiem, kas var ietekmēt atbalstāmā pasākuma izpildi un piešķirtā atbalsta nosacījumu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LIAA ir tiesības pieprasīt Organizācijai papildu informāciju un dokumentus, kā arī – neizpildes vai pārkāpumu gadījumā – pieprasīt atbalsta atmaksu saskaņā ar Noteikumu projektā ietvertajiem nosacījumiem.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jaunuzņēmumi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projekts radīs pozitīvu ietekmi uz Latvijas jaunuzņēmumu ekosistēmas konkurētspējas veicināšanu un investīciju piesaisti.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Nodrošinot iespēju Ministrijai pilnvarot jaunuzņēmumu ekosistēmā pārstāvētajām organizācijām, ir iespēja ne tikai efektīvi atbilstoši tirgus jaunākajam pieprasījumam fokusēt dažādas atbalsta aktivitātes un piesaistīt arvien jaunus talantus jaunuzņēmumos, piesaistīt investīcijas, kā arī kopumā veicināt spēcīgu un vienotu jaunuzņēmumu ekosistēmas attīstību, kā arī vienlaikus ieviest aktivitātes, kas sasniedz Stratēģijā noteiktos mērķus.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Atbalsts jaunuzņēmumiem tiks nodots saskaņā ar Noteikumu projektā noteikto kārtību ar jaunuzņēmumu interešu pārstāvošo publisku vai privātu personu starpniecību, tādējādi veicinot jaunuzņēmumu nozares ekonomisko attīstību, ārvalstu investīciju piesaisti agrīnās un sēklas stadijas jaunuzņēmumiem, investoru kustības attīstību Latvijā, finansējumu riska kapitāla ekosistēmas attīstībai.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Jaunuzņēmumu darbība un attīstība nodrošina kā augsti apmaksātas darba vietas, tā arī sekmē inovatīvu biznesa ideju ieplūdi, augstas pievienotās vērtības produktu un pakalpojumu izstrādi, investīciju piesaisti un veicina tautsaimniecības pāreju uz modernu un inovatīvu ekonomiku, kā arī veicinot uzņēmējdarbībā izmantot dažādus digitālus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plānots, ka nākamo 3 gadu periodā ik gadu tiks: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īstenotas vismaz 10 aktivitātes;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nodrošināta vismaz 15 investoru piesaiste;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nodrošināta vismaz 80 jaunuzņemumu un 400 apmeklētāju dalība.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Darbinieku trūkums ir aktuāls gan jaunuzņēmumu ekosistēmā Latvijā, gan Baltijā/Eiropā.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Latvijas Jaunuzņēmumu asociācijas datu bāzē pieejamās informācijas 2023.gadā</w:t>
      </w:r>
      <w:r w:rsidR="00000000" w:rsidRPr="00000000" w:rsidDel="00000000">
        <w:rPr>
          <w:vertAlign w:val="superscript"/>
          <w:rtl w:val="0"/>
        </w:rPr>
        <w:t xml:space="preserve">[1]</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447 jaunuzņēmumos strādāja 2898 darbinieki, no kuriem lielākā daļa ir augsti kvalificēta, un kuru vidējā neto alga ir 2500 euro mēnesī;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jaunuzņēmumu vidējais apgrozījums bija 22,5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kopējie maksājumi valsts budžetā pārsniedz 57,2 miljonus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2022. gadā Latvijas jaunuzņēmumi piesaistīja 61 miljonu euro investīciju.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w:t>
      </w:r>
      <w:r w:rsidR="00000000" w:rsidRPr="00000000" w:rsidDel="00000000">
        <w:rPr>
          <w:rtl w:val="0"/>
        </w:rPr>
        <w:t xml:space="preserve"> https://www.liaa.gov.lv/sites/liaa/files/media_file/latvian_startup_report_2023.pdf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atbalsta aktivitātes, kas vērstas uz jaunuzņemumu ekosistēmas attīstību, tiek veicināta ne tikai investoru piesaiste, bet arī tiek piesaistīti jauni talanti jaunuzņēmumos, tādējādi apmācot un nodrošinot jaunu darbinieku kvalifikācijas līmeņa celšanu.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2027</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2028</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2029</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Jaunuzņēmumu darbību veicināšanai un investīciju piesaistei jaunuzņēmumos nepieciešamais finansējums 2025.gadā un turpmāk ik gadu 400 000 euro apmērā tiks nodrošināts likumā par “Par valsts budžetu 2025.gadam un budžeta ietvaru 2025., 2026. un 2027.gadam” Ministrijas budžeta programmā 35.00.00 “Valsts atbalsta programmas” prioritārajam pasākumam “Jaunuzņēmumu atbalstam” piešķirto līdzekļu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32023R2831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2023. gada 13. decembra Regulas (ES) Nr. 2023/2831 par Līguma par Eiropas Savienības darbību 107. un 108. panta piemērošanu de minimis atbalstam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Komisijas 2023. gada 13. decembra Regulas (ES) Nr. 2023/2831 par Līguma par Eiropas Savienības darbību 107. un 108. panta piemērošanu de minimis atbalstam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Komisijas regula 2023/2831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projekta 12.5.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Komisijas regula 2023/2831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projekta 21.1.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Komisijas regula 2023/2831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projekta 24.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Komisijas regulas Nr. 2023/2831 3.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projekta 24.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Komisijas regulas Nr. 2023/2831 3. panta 8.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projekta 24.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Komisijas regulas Nr. 2023/2831 3. panta 9.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projekta 24.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Komisijas regulas Nr. 2023/2831 2.panta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projekta 24.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Komisijas regulas Nr. 2023/2831 3.panta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projekta 25.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Komisijas regula 2023/2831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projekta 26.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Komisijas regulas Nr. 2023/2831 1. panta 1. punkta "a", "b", "c" vai "d"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projekta 26.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Komisijas regulas Nr. 2023/2831 1.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projekta 26.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Komisijas regula 2023/2831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projekta 40.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25-TA-1566</w:t>
    </w:r>
    <w:r>
      <w:br/>
    </w:r>
    <w:r w:rsidR="00000000" w:rsidRPr="00000000" w:rsidDel="00000000">
      <w:rPr>
        <w:rtl w:val="0"/>
      </w:rPr>
      <w:t xml:space="preserve">Izdrukāts 29.07.2026. 22.54 - 1.0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25-TA-1566</w:t>
    </w:r>
    <w:r>
      <w:br/>
    </w:r>
    <w:r w:rsidR="00000000" w:rsidRPr="00000000" w:rsidDel="00000000">
      <w:rPr>
        <w:rtl w:val="0"/>
      </w:rPr>
      <w:t xml:space="preserve">Izdrukāts 29.07.2026. 22.54 - 1.0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anotācija_(ex_ante)_25-TA-1566.docx</dc:title>
</cp:coreProperties>
</file>

<file path=docProps/custom.xml><?xml version="1.0" encoding="utf-8"?>
<Properties xmlns="http://schemas.openxmlformats.org/officeDocument/2006/custom-properties" xmlns:vt="http://schemas.openxmlformats.org/officeDocument/2006/docPropsVTypes"/>
</file>