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Kriminālprocesa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ar mērķi sašaurināt Ekonomisko lietu tiesas (turpmāk - ELT) kompetenci krimināllietās.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likumprojekts tiek virzīts vienlaikus ar likumprojektu "Grozījumi Civilprocesa likumā", kam noteikta spēkā stāšanās 2026. gada 1. septembrī, un abos likumprojektos noteiktajam regulējumam, lai nodrošinātu sabalansētas tiesas slodzes izmaiņas, nepieciešams stāties spēkā vienlaikus, nosakāms, ka likumprojekts stājas spēkā 2026. gada 1. septembrī.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Eiropas Padomes Moneyval komitejas savstarpējās novērtēšanas 5. kārtas ziņojumā bija skaidri iezīmētas problēmas ar naudas atmazgāšanu saistīto lietu izskatīšanā, secinot, ka sarežģīto un specifisko lietu izskatīšana nereti ieilgst. Savukārt, jo sarežģītākas kļūst tiesiskās attiecības sabiedrībā, jo lielāka ir vajadzība pēc specializācijas tiesu sistēmā, lai nodrošinātu gan ātru, gan kvalitatīvu tiesu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balstoties uz 2018. gada Moneyval komitejas savstarpējās novērtēšanas 5. kārtas ziņojumu par Latviju, Ekonomiskās sadarbības un attīstības organizācijas pētījumu "Tiesiskums komercdarbībai un iekļaujošai izaugsmei Latvijā", Eiropas Padomes Tieslietu sistēmu efektivitātes komisijas ziņojumu par Latvijas tieslietu sistēmas novērtējumu, Starptautiskā Valūtas fonda novērtējumu, kā arī biedrības "Ārvalstu investoru padome Latvijā" (turpmāk - FICIL) nostāju attiecībā uz investīciju aizsardzības jautājumiem, 2021. gada 31. martā darbu sāka ELT.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gan Eiropas Komisijas ziņojumos par tiesiskumu Eiropas Savienībā (EU Justice Scoreboard), gan arī Eiropas Komisijas rezultātu apkopojumā par tiesiskuma jomu (Rule of Law Report) ir pozitīvi novērtēti pasākumi Latvijas tiesu sistēmas efektivitātes paaugstināšanai, uzsverot tieši ELT darbības uzsākšanu. Līdzīgi arī OECD 2024. gada Ekonomikas pārskatā par Latviju atzinīgi novērtēts ELT darbs un sniegta  rekomendācija Latvijai paplašināt ELT pilnvaras, vienlaikus palielinot tās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Kriminālprocesa likuma 442. panta 1.</w:t>
      </w:r>
      <w:r w:rsidR="00000000" w:rsidRPr="00000000" w:rsidDel="00000000">
        <w:rPr>
          <w:vertAlign w:val="superscript"/>
          <w:rtl w:val="0"/>
        </w:rPr>
        <w:t xml:space="preserve">1</w:t>
      </w:r>
      <w:r w:rsidR="00000000" w:rsidRPr="00000000" w:rsidDel="00000000">
        <w:rPr>
          <w:rtl w:val="0"/>
        </w:rPr>
        <w:t xml:space="preserve"> daļu ELT kā pirmās instances tiesa izskata šādu kategoriju krimināllietas: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masveida iznīcināšanas ieroču izgatavošanas, glabāšanas, pārvietošanas, lietošanas un izplatīšanas finansēšanu, ja atbildība par to izriet no Krimināllikuma 73.</w:t>
      </w:r>
      <w:r w:rsidR="00000000" w:rsidRPr="00000000" w:rsidDel="00000000">
        <w:rPr>
          <w:vertAlign w:val="superscript"/>
          <w:rtl w:val="0"/>
        </w:rPr>
        <w:t xml:space="preserve">1</w:t>
      </w:r>
      <w:r w:rsidR="00000000" w:rsidRPr="00000000" w:rsidDel="00000000">
        <w:rPr>
          <w:rtl w:val="0"/>
        </w:rPr>
        <w:t xml:space="preserve"> panta otrās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terorisma finansēšanu, ja atbildība par to izriet no Krimināllikuma 79.</w:t>
      </w:r>
      <w:r w:rsidR="00000000" w:rsidRPr="00000000" w:rsidDel="00000000">
        <w:rPr>
          <w:vertAlign w:val="superscript"/>
          <w:rtl w:val="0"/>
        </w:rPr>
        <w:t xml:space="preserve">2</w:t>
      </w:r>
      <w:r w:rsidR="00000000" w:rsidRPr="00000000" w:rsidDel="00000000">
        <w:rPr>
          <w:rtl w:val="0"/>
        </w:rPr>
        <w:t xml:space="preserve"> panta otrās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noziedzīgi iegūtu līdzekļu legalizēšanu (Krimināllikuma 195.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neatļauta labuma pieņemšanu, ja atbildība par to izriet no Krimināllikuma 198. panta otrās, trešās vai ceturtās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komerciālo uzpirkšanu, ja atbildība par to izriet no Krimināllikuma 199. panta otrās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kukuļņemšanu, ja atbildība par to izriet no Krimināllikuma 320. panta trešās vai ceturtās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kukuļa piesavināšanās, ja atbildība par to izriet no Krimināllikuma 321. panta otrās, trešās vai ceturtās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starpniecību kukuļošanā, ja atbildība par to izriet no Krimināllikuma 322. panta otrās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kukuļdošanu, ja atbildība par to izriet no Krimināllikuma 323. panta otrās vai trešās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tirgošanās ar ietekmi, ja atbildība par to izriet no Krimināllikuma 326.</w:t>
      </w:r>
      <w:r w:rsidR="00000000" w:rsidRPr="00000000" w:rsidDel="00000000">
        <w:rPr>
          <w:vertAlign w:val="superscript"/>
          <w:rtl w:val="0"/>
        </w:rPr>
        <w:t xml:space="preserve">1</w:t>
      </w:r>
      <w:r w:rsidR="00000000" w:rsidRPr="00000000" w:rsidDel="00000000">
        <w:rPr>
          <w:rtl w:val="0"/>
        </w:rPr>
        <w:t xml:space="preserve"> panta otrās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prettiesiska labumu pieprasīšanu un pieņemšanu, ja atbildība par to izriet no Krimināllikuma 326.</w:t>
      </w:r>
      <w:r w:rsidR="00000000" w:rsidRPr="00000000" w:rsidDel="00000000">
        <w:rPr>
          <w:vertAlign w:val="superscript"/>
          <w:rtl w:val="0"/>
        </w:rPr>
        <w:t xml:space="preserve">2</w:t>
      </w:r>
      <w:r w:rsidR="00000000" w:rsidRPr="00000000" w:rsidDel="00000000">
        <w:rPr>
          <w:rtl w:val="0"/>
        </w:rPr>
        <w:t xml:space="preserve"> panta otrās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prettiesiska labumu došanu, ja atbildība par to izriet no Krimināllikuma 326.</w:t>
      </w:r>
      <w:r w:rsidR="00000000" w:rsidRPr="00000000" w:rsidDel="00000000">
        <w:rPr>
          <w:vertAlign w:val="superscript"/>
          <w:rtl w:val="0"/>
        </w:rPr>
        <w:t xml:space="preserve">3</w:t>
      </w:r>
      <w:r w:rsidR="00000000" w:rsidRPr="00000000" w:rsidDel="00000000">
        <w:rPr>
          <w:rtl w:val="0"/>
        </w:rPr>
        <w:t xml:space="preserve"> panta otrās 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11. oktobrī Ministru kabinets apstiprināja Tieslietu ministrijas sagatavoto ziņojumu par ELT pirmā darbības gada rezultātiem un tās turpmākās attīstības iespējām. Ziņojumā, novērtējot ELT darbību, secināts, ka tiesa tās pirmajā darbības gadā ir bijusi efektīva un tās darba rezultāti liecina par augstu profesionalitāti. ELT ir uzskatāmi parādījusi, ka tā ir efektīva un profesionāla – gan, ņemot vērā nolēmumu stabilitātes rādītājus, gan vidējo lietas izskatīšanas termiņu, gan izskatīto lietu sarežģītību un apjomu. Ziņojumā secināts, ka ELT kompetence būtu paplašināma tostarp civillietās.[1]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[1]Pieejams šeit: https://tapportals.mk.gov.lv/attachments/legal_acts/document_versions/55c637b8-adbc-43d1-84fa-303a16f270b5/download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vairums tiesā saņemto lietu ir kriminālprocesi, radot slodzi, kas ir būtiski lielāka par sākotnēji plānoto. Piemēram, iepazīstoties ar Tiesu darba datu portālā pieejamo statistiku par ELT saņemtajām lietām 2024. gadā, secināms, ka 50 % no saņemto lietu skaita bijuši procesi par noziedzīgi iegūtu mantu, savukārt civillietas bijušas vien 25 %.[1]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 daļa no krimināllietām, kurās apsūdzība celta pēc vairākiem pantiem, kā pants, kurš noteic lietas piekritību ELT, ir Krimināllikuma 195.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saglabātu tiesas darba efektivitāti tikpat augstā līmenī, ir svarīgi saglabāt pārdomātu un līdzsvarotu pieeju tiesas kompetences paplašināšanas jautājumos. Vērtējot civillietu un krimināllietu attiecību, ievērojot iepriekš minēto, secināms, ka attīstāma ELT kompetence civiltiesību jomā un pārskatāms ELT piekrītošo krimināllietu tvērums.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šeit: https://dati.ta.gov.lv/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ELT ir piekritīgi specifiski komercstrīdi un krimināllietas par sevišķi smagiem un smagiem noziegumiem, kas rada būtisku kaitējumu uzņēmējdarbības videi un tautsaimniecības attīstībai. Jau sākotnēji tika paredzētas krimināllietu kategorijas  -  koruptīvie noziedzīgie nodarījumi gan privātajā, gan publiskajā sektorā, kā arī ar noziedzīgi iegūtu līdzekļu legalizēšanu saistītie noziedzīgie nodarījumi.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Kriminālprocesa likuma 442. pantā paredzēts, ka ELT izskata krimināllietu, ja persona saukta pie kriminālatbildības par vairākiem noziedzīgiem nodarījumiem, no kuriem smagākais vai kāds no smagākajiem noziedzīgajiem nodarījumiem ir piekritīgs izskatīšanai ELT.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aptuveni puse no ELT izskatītajām krimināllietām, kurās bija vairāki apsūdzības panti, bija piekritīgas ELT tāpēc, ka smagākais vai kāds no smagākajiem noziedzīgajiem nodarījumiem bija paredzēts KL 195. pantā. Analizējot šīs pantu kopības, secināms, ka tādējādi ELT ir skatījusi arī tādas krimināllietas, kas saistītas, piemēram, ar noziegumiem pret tikumību un dzimumneaizskaramību, narkotisko un psihotropo vielu neatļautu apriti, nelikumīgām medībām u.tml. Minētās krimināllietas pēc sava rakstura neatbilst ELT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līdzsvarotu ELT noslodzi attiecībā uz kriminālprocesiem, nosakāma noziedzīgu nodarījumu piekritības papildu nošķiršana gadījumos, kad krimināllietā persona tiek saukta pie kriminālatbildības par vairākiem noziedzīgiem nodarījumiem, no kuriem smagākais vai kāds no smagākajiem noziedzīgajiem nodarījumiem kvalificēts pēc Krimināllikuma 195. panta. Likumprojekts paredz, ka ELT kompetence izskatīt krimināllietas, kurās persona tiek saukta pie kriminālatbildības par vairākiem noziedzīgiem nodarījumiem, ja viens no tiem kvalificēts pēc Krimināllikuma 195. panta un neveido kopību ar kādu no šobrīd ELT piekritīgajiem Krimināllikuma pantiem, būs tikai likumā tieši noteiktos pantu kopības gadījumos. Ievērojot minēto, Likumprojekts papildina Kriminālprocesa likuma 442. pantu ar jaunu daļu. Vienlaikus atzīmējams, ka citu salikto sastāvu piekritību ELT likumprojekts nemaina.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pēc likumprojektā noteiktā regulējuma būtu viennozīmīgi skaidrs, kas notiek ar ELT saņemtajām un izskatīšanā uzsāktajām lietām, likumprojekts papildina likuma pārejas noteikumus, paredzot, ka lietas, kuru izskatīšana ELT ir uzsākta, pabeidz izskatīt ELT. Vienlaikus apelācijas kārtībā pārsūdzēto nolēmumu izskatīšana būs piekritīgai apgabaltiesai atbilstoši vispārējai sadales kārtībai. Savukārt, lietas, kas saņemtas ELT līdz grozījumu spēkā stāšanās brīdim, bet kurās tiesas izmeklēšana ELT nav uzsākta, nosūtāmas izskatīšanai attiecīgajai vispārējās jurisdikcijas rajona (pilsētas) tiesai pēc piekritības.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Tiesneši, advokāti un citas personas, kurām būs nepieciešams piedalīties procesā ELT.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līdzsvarota Ekonomisko lietu tiesas noslodze attiecībā uz kriminālprocesiem, vienlaikus saglabājot pārdomātu un līdzsvarotu pieeju tiesas kompetences paplašināšanas jautājumos.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Civilprocesa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tiek virzīti grozījumi Civilprocesa likumā (Nr. 25-TA-493), kas paplašina ELT kompetenci civillietās.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Ekonomisko lietu tiesa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Biedrība "Latvijas Tirdzniecības un rūpniecības kamera", Latvijas Finanšu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Ekonomisko lietu tiesa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sašaurināta ELT kompetence attiecībā uz izskatāmajām krimināllietu kategorijām.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25-TA-979</w:t>
    </w:r>
    <w:r>
      <w:br/>
    </w:r>
    <w:r w:rsidR="00000000" w:rsidRPr="00000000" w:rsidDel="00000000">
      <w:rPr>
        <w:rtl w:val="0"/>
      </w:rPr>
      <w:t xml:space="preserve">Izdrukāts 29.07.2026. 22.48 - 1.0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25-TA-979</w:t>
    </w:r>
    <w:r>
      <w:br/>
    </w:r>
    <w:r w:rsidR="00000000" w:rsidRPr="00000000" w:rsidDel="00000000">
      <w:rPr>
        <w:rtl w:val="0"/>
      </w:rPr>
      <w:t xml:space="preserve">Izdrukāts 29.07.2026. 22.48 - 1.0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anotācija_(ex_ante)_25-TA-979.docx</dc:title>
</cp:coreProperties>
</file>

<file path=docProps/custom.xml><?xml version="1.0" encoding="utf-8"?>
<Properties xmlns="http://schemas.openxmlformats.org/officeDocument/2006/custom-properties" xmlns:vt="http://schemas.openxmlformats.org/officeDocument/2006/docPropsVTypes"/>
</file>