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26.05.2026. grozījumiem Ministru kabineta 20.12.2022. noteikumos Nr. 816 "Publisko elektronisko iepirkumu noteikumi" (turpmāk - Noteikumi Nr. 816) un Ministru kabineta 26.05.2026. sēdes protokola Nr. 29 26.§ 3. punktu, kas nosaka veikt pārdali no Valsts digitālās attīstības aģentūras (turpmāk - VDAA) uz Iepirkumu uzraudzības biroju (turpmāk - IUB).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budžetu un finanšu vadību 9. panta piecpadsmito daļu finanšu ministram ir tiesības veikt apropriācijas pārdali starp ministrijām un citām centrālajām valsts iestādēm, tai skaitā funkciju pārdales vai strukturālo reformu gadījumos, ja ir pieņemts Ministru kabineta lēmums un Saeima ar atsevišķu lēmumu piekritusi šādai pārdale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lai IUB pārņemtu no VDAA funkciju, kas nebija minēta Ministru kabineta 2025. gada 26. augusta sēdes protokollēmuma (protokols Nr. 33 52. §) "Informatīvais ziņojums "Par darba grupas publiskā iepirkuma efektivitātes palielināšanai rezultātu un priekšlikumiem tālākai publisko iepirkumu sistēmas attīstībai"" (turpmāk - Protokollēmums), proti, nodrošinātu tehnisko atbalstu centralizēto iepirkumu institūcijām preču un pakalpojumu izvietošanai e-pasūtījumu apakšsistēmā.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816 3.2.6. apakšpunkts nosaka, ka IUB kā e-iepirkumu sistēmas pārzinis sniedz tehnisko atbalstu preču un pakalpojumu izvietošanai e-pasūtījumu apakšsistēmā centralizēto iepirkumu institūcijām, taču Protokollēmumā šī funkcija nebija noteikta un attiecīgi no VDAA uz IUB pārdalāmā finansējuma apmērā netika iekļautas šādas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Noteikumiem Nr. 816 IUB ir noteikta papildu funkcija, kuras izpildei nav finansējuma.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Nr. 816 grozījumiem VDAA vairs nav jāveic noteiktā funkcija, attiecīgais finansējums ir pārdalāms IUB, kas pārņem un turpinās nodrošināt šo funkciju.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Rīkojums paredz finansējuma pārdali no Viedās administrācijas un reģionālās attīstības ministrijas budžeta  programmas 32.00.00 "Valsts digitālās attīstības politikas īstenošana" (VDAA) uz Finanšu ministrijas budžeta programmu 32.00.00 "Iepirkumu uzraudzības birojs":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2026. gadā 14 082 </w:t>
            </w:r>
            <w:r w:rsidR="00000000" w:rsidRPr="00000000" w:rsidDel="00000000">
              <w:rPr>
                <w:sz w:val="24"/>
                <w:i w:val="1"/>
                <w:rtl w:val="0"/>
              </w:rPr>
              <w:t xml:space="preserve">euro</w:t>
            </w:r>
            <w:r w:rsidR="00000000" w:rsidRPr="00000000" w:rsidDel="00000000">
              <w:rPr>
                <w:sz w:val="24"/>
                <w:rtl w:val="0"/>
              </w:rPr>
              <w:t xml:space="preserve"> apmērā (EKK1000 Atlīdzība; 6 mēneši *1899 EUR + DD VSAOI 23,59%);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ar 2027. gadu turpmāk ik gadu 29 764 </w:t>
            </w:r>
            <w:r w:rsidR="00000000" w:rsidRPr="00000000" w:rsidDel="00000000">
              <w:rPr>
                <w:sz w:val="24"/>
                <w:i w:val="1"/>
                <w:rtl w:val="0"/>
              </w:rPr>
              <w:t xml:space="preserve">euro</w:t>
            </w:r>
            <w:r w:rsidR="00000000" w:rsidRPr="00000000" w:rsidDel="00000000">
              <w:rPr>
                <w:sz w:val="24"/>
                <w:rtl w:val="0"/>
              </w:rPr>
              <w:t xml:space="preserve"> apmērā (EKK1000 Atlīdzība; 12 mēneši *1899 EUR + DD VSAOI 23,59% un sociālās garantijas (atvaļinājuma pabalsts 950 </w:t>
            </w:r>
            <w:r w:rsidR="00000000" w:rsidRPr="00000000" w:rsidDel="00000000">
              <w:rPr>
                <w:sz w:val="24"/>
                <w:i w:val="1"/>
                <w:rtl w:val="0"/>
              </w:rPr>
              <w:t xml:space="preserve">euro</w:t>
            </w:r>
            <w:r w:rsidR="00000000" w:rsidRPr="00000000" w:rsidDel="00000000">
              <w:rPr>
                <w:sz w:val="24"/>
                <w:rtl w:val="0"/>
              </w:rPr>
              <w:t xml:space="preserve"> un 427 </w:t>
            </w:r>
            <w:r w:rsidR="00000000" w:rsidRPr="00000000" w:rsidDel="00000000">
              <w:rPr>
                <w:sz w:val="24"/>
                <w:i w:val="1"/>
                <w:rtl w:val="0"/>
              </w:rPr>
              <w:t xml:space="preserve">euro</w:t>
            </w:r>
            <w:r w:rsidR="00000000" w:rsidRPr="00000000" w:rsidDel="00000000">
              <w:rPr>
                <w:sz w:val="24"/>
                <w:rtl w:val="0"/>
              </w:rPr>
              <w:t xml:space="preserve"> veselības apdrošināšanas polise)).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Izmaiņu 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15. oktobra noteikumu Nr. 639 "Sabiedrības līdzdalības kārtība attīstības plānošanas procesā" 4. punkts nosaka, ka sabiedrības līdzdalības kārtība piemērojama attīstības plānošanas dokumentu projektu, kā arī tiesību aktu projektu izstrādē un citās sabiedrībai nozīmīgās iniciatīvās un procesos. Ņemot vērā, ka rīkojuma projekts neparedz ieviest sabiedrībai nozīmīgas iniciatīvas, tā saturs neatbilst minētajiem kritērijiem un sabiedrības līdzdalības kārtība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26-TA-1461</w:t>
    </w:r>
    <w:r>
      <w:br/>
    </w:r>
    <w:r w:rsidR="00000000" w:rsidRPr="00000000" w:rsidDel="00000000">
      <w:rPr>
        <w:rtl w:val="0"/>
      </w:rPr>
      <w:t xml:space="preserve">Izdrukāts 29.07.2026. 23.22 - 1.0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26-TA-1461</w:t>
    </w:r>
    <w:r>
      <w:br/>
    </w:r>
    <w:r w:rsidR="00000000" w:rsidRPr="00000000" w:rsidDel="00000000">
      <w:rPr>
        <w:rtl w:val="0"/>
      </w:rPr>
      <w:t xml:space="preserve">Izdrukāts 29.07.2026. 23.22 - 1.0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anotācija_(ex_ante)_26-TA-1461.docx</dc:title>
</cp:coreProperties>
</file>

<file path=docProps/custom.xml><?xml version="1.0" encoding="utf-8"?>
<Properties xmlns="http://schemas.openxmlformats.org/officeDocument/2006/custom-properties" xmlns:vt="http://schemas.openxmlformats.org/officeDocument/2006/docPropsVTypes"/>
</file>