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decembra noteikumos Nr. 730 "Ekspluatējamu ēku energoefektivitātes minimālās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(turpmāk - projekts) izstrāde nepieciešama Eiropas Parlamenta un Padomes 2024. gada 24. aprīļa direktīvā (ES) Nr. 2024/1275 par ēku energosniegumu (turpmāk - Direktīva Nr. 2024/1275) noteikto ekspluatācijas prasību pārņemšanai.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normatīvajā regulējumā Direktīvas Nr. 2024/1275 ekspluatācijas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direktīvas (ES) Nr. 2024/1275 par ēku energosniegumu 35. panta 1.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2024.gada 24.aprīlī apstiprināja jauno Direktīvu Nr. 2024/1275, kas pašlaik ir arī jaunākā direktīvas par ēku energosniegumu versija. Direktīvas ekspluatācijas normas - gan sākotnējās, gan normas to pēdējā versijā pirms jaunās Direktīvas Nr. 2024/1275 apstiprināšanas - Latvija ir primāri transponējusi Ministru kabineta 2020. gada 10. decembra noteikumiem Nr. 730 "Ekspluatējamu ēku energoefektivitātes minimālās prasības" (turpmāk - Noteikumi), tamdēļ jaunāko ekspluatācijas normu optimāla transponēšana ir veicama ar atjauninājumiem un papildinājumiem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2024/1275 par ēku energosniegumu 35. panta 1. punktā noteiktais normu spēkā stāšanās termiņš ir vienlaicīgi arī termiņš saistošo Direktīvas Nr. 2024/1275 prasību transponēšanai Latvijas normatīvajā regulējumā. Laicīga normu nepārņemšana rada augstu risku pārkāpuma procedūras uzsākšanai pret Latvijas Republiku.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Ēku energoefektivitātes likuma 4. panta otrajā daļā noteikto deleģējumu Ministru kabinetam, Ekonomikas ministrija ir izstrādājusi noteikumu projektu. Noteikumu projekta normas ir saistošas ēku pārvaldniekiem.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Noteikumu 9.punkts ar precizējumu, ka vides kvalitātes monitoringa sistēmas izveidošana esošās ēkās ir jāveic tikai tad, ja tās ieviešana ir tehniski piemērota, ekonomiski un funkcionāli īstenojama. Prasība par šīs sistēmas ieviešanu turpmāk būs attiecināta tikai uz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Direktīvai Nr. 2024/1275, iekļauts jauns 9.</w:t>
      </w:r>
      <w:r w:rsidR="00000000" w:rsidRPr="00000000" w:rsidDel="00000000">
        <w:rPr>
          <w:vertAlign w:val="superscript"/>
          <w:rtl w:val="0"/>
        </w:rPr>
        <w:t xml:space="preserve">1</w:t>
      </w:r>
      <w:r w:rsidR="00000000" w:rsidRPr="00000000" w:rsidDel="00000000">
        <w:rPr>
          <w:rtl w:val="0"/>
        </w:rPr>
        <w:t xml:space="preserve"> punkts par automātisku apgaismojuma vadības ierīču uzstādīšanu nedzīvojamās ēkās, ja to uzstādīšana ir tehniski un ekonomiski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Noteikumu 10.punkts (sasaistīts ar 9.</w:t>
      </w:r>
      <w:r w:rsidR="00000000" w:rsidRPr="00000000" w:rsidDel="00000000">
        <w:rPr>
          <w:vertAlign w:val="superscript"/>
          <w:rtl w:val="0"/>
        </w:rPr>
        <w:t xml:space="preserve">1</w:t>
      </w:r>
      <w:r w:rsidR="00000000" w:rsidRPr="00000000" w:rsidDel="00000000">
        <w:rPr>
          <w:rtl w:val="0"/>
        </w:rPr>
        <w:t xml:space="preserve"> punktu) ar Direktīvā noteiktās prasības ieviešanas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izmantota Direktīvā Nr. 2024/1275 atļautā rīcības brīvība nepieprasīt vides kvalitātes monitoringa sistēmas ierīču uzstādīšanu dzīvojamās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Direktīvai Nr. 2024/1275, iekļauts jauns 10.</w:t>
      </w:r>
      <w:r w:rsidR="00000000" w:rsidRPr="00000000" w:rsidDel="00000000">
        <w:rPr>
          <w:vertAlign w:val="superscript"/>
          <w:rtl w:val="0"/>
        </w:rPr>
        <w:t xml:space="preserve">1</w:t>
      </w:r>
      <w:r w:rsidR="00000000" w:rsidRPr="00000000" w:rsidDel="00000000">
        <w:rPr>
          <w:rtl w:val="0"/>
        </w:rPr>
        <w:t xml:space="preserve"> punkts par saules enerģijas iekārtu uzstādīšanu publiskās personas iestādes ēkās. Šī prasība ir spēkā tikai tad, ja saules enerģijas iekārtu ierīkošana ēkā ir tehniski piemērota, ekonomiski un funkcionāli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personas iestāde šo noteikumu izpratnē ir valsts, reģionālās vai vietējās iestādes un subjekti, ko minētā iestāde tieši finansē un pārvalda, bet kam nav rūpnieciska vai komerciāla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Iekļauts jauns 10.</w:t>
      </w:r>
      <w:r w:rsidR="00000000" w:rsidRPr="00000000" w:rsidDel="00000000">
        <w:rPr>
          <w:vertAlign w:val="superscript"/>
          <w:rtl w:val="0"/>
        </w:rPr>
        <w:t xml:space="preserve">2</w:t>
      </w:r>
      <w:r w:rsidR="00000000" w:rsidRPr="00000000" w:rsidDel="00000000">
        <w:rPr>
          <w:rtl w:val="0"/>
        </w:rPr>
        <w:t xml:space="preserve"> punkts (sasaistīts ar 10.</w:t>
      </w:r>
      <w:r w:rsidR="00000000" w:rsidRPr="00000000" w:rsidDel="00000000">
        <w:rPr>
          <w:vertAlign w:val="superscript"/>
          <w:rtl w:val="0"/>
        </w:rPr>
        <w:t xml:space="preserve">1</w:t>
      </w:r>
      <w:r w:rsidR="00000000" w:rsidRPr="00000000" w:rsidDel="00000000">
        <w:rPr>
          <w:rtl w:val="0"/>
        </w:rPr>
        <w:t xml:space="preserve"> punktu) ar Direktīvā Nr. 2024/1275 noteiktās prasības ieviešanas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Redakcionāls precizējums Noteikumu 11.3.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Direktīvai Nr. 2024/1275, iekļauts jauns 11.4. apakšpunkts par ēkas automatizācijas un vadības sistēmas spēju veikt iekštelpu vides kvalitātes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Papildināts Noteikumu 12.punkts, nosakot kritērijus elektrotransportlīdzekļu uzlādes punktu un velosipēdu stāvvietu ierīkošanai ēkā, kurā ir vairāk nekā 20 automašīnu stāvvietu. Noteiktās prasības nav attiecināmas uz ēkai </w:t>
      </w:r>
      <w:r w:rsidR="00000000" w:rsidRPr="00000000" w:rsidDel="00000000">
        <w:rPr>
          <w:i w:val="1"/>
          <w:rtl w:val="0"/>
        </w:rPr>
        <w:t xml:space="preserve">blakus </w:t>
      </w:r>
      <w:r w:rsidR="00000000" w:rsidRPr="00000000" w:rsidDel="00000000">
        <w:rPr>
          <w:rtl w:val="0"/>
        </w:rPr>
        <w:t xml:space="preserve">esošām stāvvietām, bet tikai uz tām, kas ir ēkas iekšienē, piemēram, tirdzniecības centra apakšzemes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Direktīvai Nr. 2024/1275, iekļauts jauns 12.</w:t>
      </w:r>
      <w:r w:rsidR="00000000" w:rsidRPr="00000000" w:rsidDel="00000000">
        <w:rPr>
          <w:vertAlign w:val="superscript"/>
          <w:rtl w:val="0"/>
        </w:rPr>
        <w:t xml:space="preserve">1</w:t>
      </w:r>
      <w:r w:rsidR="00000000" w:rsidRPr="00000000" w:rsidDel="00000000">
        <w:rPr>
          <w:rtl w:val="0"/>
        </w:rPr>
        <w:t xml:space="preserve"> punkts par 12.2. apakšpunktā noteiktās prasības par velosipēdu stāvvietu ierīkošanu neattiecināšanu.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Direktīvai Nr. 2024/1275, iekļauts jauns 12.</w:t>
      </w:r>
      <w:r w:rsidR="00000000" w:rsidRPr="00000000" w:rsidDel="00000000">
        <w:rPr>
          <w:vertAlign w:val="superscript"/>
          <w:rtl w:val="0"/>
        </w:rPr>
        <w:t xml:space="preserve">2</w:t>
      </w:r>
      <w:r w:rsidR="00000000" w:rsidRPr="00000000" w:rsidDel="00000000">
        <w:rPr>
          <w:rtl w:val="0"/>
        </w:rPr>
        <w:t xml:space="preserve"> punkts par kabeļu ierīkošanu vismaz 50% automašīnu stāvvietām publiskās personas iestādes nedzīvojamās ēkās. Līdzīgi kā tas ir noteikts skaidrojumā par Noteikumu 12.punktu, prasība attiecināma tikai uz tām automašīnu stāvvietām, kas atrodas ēkas iekšienē, nevis blakus 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Izmantota Direktīvā Nr. 2024/1275 atļautā rīcības brīvība atlikt prasību par kabeļu ierīkošanu vismaz 50 % automašīnu stāvvietām nedzīvojamās ēkās, kas ir publiskās personas iestādes īpašumā, līdz 2029. gada 1. janvārim, ja tām noteiktajā laika periodā (28/05/2022-28/05/2024) ir veikta ēkas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Papildināts informatīvo atsauču saraksts uz Eiropas Savienības direktīvām ar norādi par Direktīvu Nr. 2024/1275.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un lietotāji
Transporta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Uzlabotas iekštelpu vides kvalitātes dēļ iedzīvotājiem būs augstāks komforta un veselības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ēkas iekšējo stāvvietu normu dēļ elektrotransportlīdzekļu lietotājiem un velosipēdistiem būs plašākas mobilitātes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Publisko personu iestāžu īpašnieki (valsts, pašvaldības, valsts un pašvaldību kapitālsabiedrības)
Ar elektrotransporta un velosipēdu izmantošanu saistītie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īpašniekiem un attīstītājiem būs jānodrošina jaunās enerģijas patēriņa un iekštelpu vides kvalitātes prasības, kā arī jānodrošina uzlādes un stāvvietu infrastruktūras pieejamība un saules enerģijas iekārtu uzstādīšana. Piemēram, attiecībā uz ēkām, kurās ir vairāk kā 20 automašīnu stāvvietu, minimālā prasību apjoma izpildei būs jāierīko vismaz divi uzlādes punkti vai jāizbūvē 10 kabeļkanāli.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Nr. 2024/1275 par ēku energosniegumu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2024. gada 24. aprīļa direktīvas (ES) Nr. 2024/1275 par ēku energosniegumu preambulas 83.punktam, projekta ietvaros transponētas tikai tās normas, kas ieviestas pilnībā no jauna vai kurām no iepriekš transponētajām normām ir veiktas izmaiņas pēc būtības.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Nr. 2024/1275 par ēku energosniegumu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3.punkta "b" apakšpunkta "i" apakšapakšpunkts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[nosaka jaunu 10.</w:t>
            </w:r>
            <w:r w:rsidR="00000000" w:rsidRPr="00000000" w:rsidDel="00000000">
              <w:rPr>
                <w:sz w:val="24"/>
                <w:vertAlign w:val="superscript"/>
                <w:rtl w:val="0"/>
              </w:rPr>
              <w:t xml:space="preserve">1 </w:t>
            </w:r>
            <w:r w:rsidR="00000000" w:rsidRPr="00000000" w:rsidDel="00000000">
              <w:rPr>
                <w:sz w:val="24"/>
                <w:rtl w:val="0"/>
              </w:rPr>
              <w:t xml:space="preserve">un 10.</w:t>
            </w:r>
            <w:r w:rsidR="00000000" w:rsidRPr="00000000" w:rsidDel="00000000">
              <w:rPr>
                <w:sz w:val="24"/>
                <w:vertAlign w:val="superscript"/>
                <w:rtl w:val="0"/>
              </w:rPr>
              <w:t xml:space="preserve">2</w:t>
            </w:r>
            <w:r w:rsidR="00000000" w:rsidRPr="00000000" w:rsidDel="00000000">
              <w:rPr>
                <w:sz w:val="24"/>
                <w:rtl w:val="0"/>
              </w:rPr>
              <w:t xml:space="preserve"> 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3.punkta "b" apakšpunkta "ii" apakšapakšpunkts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[nosaka jaunu 10.</w:t>
            </w:r>
            <w:r w:rsidR="00000000" w:rsidRPr="00000000" w:rsidDel="00000000">
              <w:rPr>
                <w:sz w:val="24"/>
                <w:vertAlign w:val="superscript"/>
                <w:rtl w:val="0"/>
              </w:rPr>
              <w:t xml:space="preserve">1</w:t>
            </w:r>
            <w:r w:rsidR="00000000" w:rsidRPr="00000000" w:rsidDel="00000000">
              <w:rPr>
                <w:sz w:val="24"/>
                <w:rtl w:val="0"/>
              </w:rPr>
              <w:t xml:space="preserve"> un 10.</w:t>
            </w:r>
            <w:r w:rsidR="00000000" w:rsidRPr="00000000" w:rsidDel="00000000">
              <w:rPr>
                <w:sz w:val="24"/>
                <w:vertAlign w:val="superscript"/>
                <w:rtl w:val="0"/>
              </w:rPr>
              <w:t xml:space="preserve">2</w:t>
            </w:r>
            <w:r w:rsidR="00000000" w:rsidRPr="00000000" w:rsidDel="00000000">
              <w:rPr>
                <w:sz w:val="24"/>
                <w:rtl w:val="0"/>
              </w:rPr>
              <w:t xml:space="preserve"> 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3.punkta "b" apakšpunkta "iii" apakšapakšpunkts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[nosaka jaunu 10.</w:t>
            </w:r>
            <w:r w:rsidR="00000000" w:rsidRPr="00000000" w:rsidDel="00000000">
              <w:rPr>
                <w:sz w:val="24"/>
                <w:vertAlign w:val="superscript"/>
                <w:rtl w:val="0"/>
              </w:rPr>
              <w:t xml:space="preserve">1</w:t>
            </w:r>
            <w:r w:rsidR="00000000" w:rsidRPr="00000000" w:rsidDel="00000000">
              <w:rPr>
                <w:sz w:val="24"/>
                <w:rtl w:val="0"/>
              </w:rPr>
              <w:t xml:space="preserve"> un 10.</w:t>
            </w:r>
            <w:r w:rsidR="00000000" w:rsidRPr="00000000" w:rsidDel="00000000">
              <w:rPr>
                <w:sz w:val="24"/>
                <w:vertAlign w:val="superscript"/>
                <w:rtl w:val="0"/>
              </w:rPr>
              <w:t xml:space="preserve">2</w:t>
            </w:r>
            <w:r w:rsidR="00000000" w:rsidRPr="00000000" w:rsidDel="00000000">
              <w:rPr>
                <w:sz w:val="24"/>
                <w:rtl w:val="0"/>
              </w:rPr>
              <w:t xml:space="preserve"> 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[jauna redakcija 9.p]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[jauna redakcija 9.p]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Attiecīgie noteikumi nosaka prasības esošām ēkām, tāpēc tiek pārņemta tikai tām saistošā daļa attiecībā uz ierīču uzstādīšanu. Daļu, kas attiecībā uz jaunām ēkām vai to pārbūvēm, pārņems cits normatīvais akts būvnormatīvu jomā. Atbilstoši Direktīvā paredzētajai iespējai, dzīvojamām ēkām prasība netiek noteikta kā obligāta.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10.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[nosaka jaunu 11.4.p]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Attiecīgie noteikumi nosaka prasības esošām ēkām, tāpēc tiek pārņemta tikai tām saistošā daļa attiecībā uz ierīču uzstādīšanu. Daļu, kas attiecībā uz jaunām ēkām vai to pārbūvēm, pārņems cits normatīvais akts būvnormatīvu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[jauna redakcija 10.p]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2.punkta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[nosaka jaunu 12.</w:t>
            </w:r>
            <w:r w:rsidR="00000000" w:rsidRPr="00000000" w:rsidDel="00000000">
              <w:rPr>
                <w:sz w:val="24"/>
                <w:vertAlign w:val="superscript"/>
                <w:rtl w:val="0"/>
              </w:rPr>
              <w:t xml:space="preserve">2</w:t>
            </w:r>
            <w:r w:rsidR="00000000" w:rsidRPr="00000000" w:rsidDel="00000000">
              <w:rPr>
                <w:sz w:val="24"/>
                <w:rtl w:val="0"/>
              </w:rPr>
              <w:t xml:space="preserve">.p]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2.punkta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[nosaka jaunu 17.p]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[jauna redakcija 12.p]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[jauna redakcija 12.p]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[nosaka jaunu 12.</w:t>
            </w:r>
            <w:r w:rsidR="00000000" w:rsidRPr="00000000" w:rsidDel="00000000">
              <w:rPr>
                <w:sz w:val="24"/>
                <w:vertAlign w:val="superscript"/>
                <w:rtl w:val="0"/>
              </w:rPr>
              <w:t xml:space="preserve">1</w:t>
            </w:r>
            <w:r w:rsidR="00000000" w:rsidRPr="00000000" w:rsidDel="00000000">
              <w:rPr>
                <w:sz w:val="24"/>
                <w:rtl w:val="0"/>
              </w:rPr>
              <w:t xml:space="preserve">.p]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3.punktā izmantota rīcības brīvība nepieprasīt monitoringa ierīču uzstādīšanu dzīvojamās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11.punktā izmantota rīcības brīvība atlikt prasību noteiktajā laika periodā (28/05/2022-28/05/2024) renovētajām nedzīvojamajām ēkām līdz 2029. gada 1. janvārim.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saistošas.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personu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Publisko personu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Sakarā ar statistikas datu neesamību attiecībā uz ēku sadalījumu atbilstoši noteikumu projektā ietverto normu piemērošanas specifiskajiem kritērijiem, piemēram, ēka ar vairāk nekā 20 automašīnu stāvvietām, nav iespējams priekšlaicīgi novērtēt administratīvo izmaksu apmēru uz valsts, pašvaldību un to kapitālsabiedrību rīcībā esošo ēku pielāgošanai jaunajām ekspluatācijas prasībām.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ēku apsaimniekošanas risinājumi, kas esošo ēku enerģijas patēriņu tuvinās ekspluatācijā nodotai bezemisiju ēkai atbilstošam patēriņam.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26-TA-329</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26-TA-329</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anotācija_(ex_ante)_26-TA-329.docx</dc:title>
</cp:coreProperties>
</file>

<file path=docProps/custom.xml><?xml version="1.0" encoding="utf-8"?>
<Properties xmlns="http://schemas.openxmlformats.org/officeDocument/2006/custom-properties" xmlns:vt="http://schemas.openxmlformats.org/officeDocument/2006/docPropsVTypes"/>
</file>