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2018. gada 20. februāra noteikumos Nr. 95 "Noteikumi par valsts palīdzību dzīvojamās telpas iegādei vai būvniecībai""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izstrādāts, ņemot vērā Valsts aizsardzības koncepcijā (apstiprināta ar Latvijas Republikas Saeimas 2020. gada 24. septembra lēmumu) un Nacionālo bruņoto spēku ilgtermiņa attīstības plānā (apstiprināts ar Ministru kabineta 2020. gada 14. decembra rīkojumu Nr. 773 “Par Nacionālo bruņoto spēku attīstības plānu 2020.-2032. gadam”) noteikto un 2022.gada 13.janvārī Saeimas apstiprinātos grozījumus likumā "Par palīdzību dzīvokļa jautājumu risināšanā". Atbilstoši minētajiem grozījumiem Nacionālo bruņoto spēku karavīri ir atbalstāmā mērķa grupa, kas var saņemt garantiju nekustamā īpašuma iegādei A/S “Attīstības finanšu institūcija Altum” (turpmāk – Altum) īstenotās atbalsta programmas ietvaros.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izstrādāts, lai sinhronizētu Ministru kabineta 2018. gada 20. februāra noteikumu Nr. 95 "Noteikumi par valsts palīdzību dzīvojamās telpas iegādei vai būvniecībai"" (turpmāk – MK noteikumi) regulējumu ar 2022. gada 13. janvārī Saeimas apstiprinātajiem grozījumiem likumā "Par palīdzību dzīvokļa jautājumu risināšanā".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24.10.2022.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stāsies spēkā vienlaikus ar saistītajiem grozījumiem Ministru kabineta 2009. gada 27. oktobra noteikumos Nr. 1250 "Noteikumi par valsts nodevu par īpašuma tiesību un ķīlas tiesību nostiprināšanu zemesgrāmatā".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īstenotu Valsts aizsardzības koncepcijā (apstiprināta ar Latvijas Republikas Saeimas 2020. gada 24. septembra lēmumu) un Nacionālo bruņoto spēku ilgtermiņa attīstības plānā (apstiprināts ar Ministru kabineta 2020. gada 14. decembra rīkojumu Nr. 773 “Par Nacionālo bruņoto spēku attīstības plānu 2020.-2032. gadam”) noteikto, būtisks priekšnoteikums ir profesionāla un motivēta personālsastāva komplektēšana.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Izmitināšanas un karavīru dzīvojamās telpas jautājuma risināšana ir bijusi aktuāla jau vairākus gadus. Nacionālie bruņotie spēki vienā no lielākajām militārajām bāzēm veica karavīru aptauju, lai identificētu, kādi varianti būtu motivējoši dienestam, un kāda veida risinājumi no karavīru puses atbalstāmi.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Puse no respondentiem atbildēja, ka sava mājokļa nav, 1/3 daļa mājokli īrē un 70% no aptaujātiem uz jautājumu par iespējamo valsts atbalstu mājokļa iegādes jautājumā atbildēja, ka to noteikti izmantotu, taču karavīriem valsts atbalstu mājokļa iegādei nav pieejams, jo atbilstoši MK noteikumiem garantiju ir tiesīga saņemt: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persona, ar kuru kopā dzīvo un kuras apgādībā ir vismaz viens bērns vai kurai ir iestājusies grūtniecība, vai gaidāmā bērna tēvam un darījuma summa nepārsniedz 250 000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persona, kura ieguvusi vidējo profesionālo vai augstāko izglītību un kura nepārsniedz 35 gadu vecumu.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Profesionālajā dienestā atbilstoši Militārā dienesta likuma 19. pantam uzņem Latvijas pilsoņus vecumā no 18 gadiem, ja tās atbilst aizsardzības ministra noteiktajām veselības stāvokļa, izglītības, profesionālās un fiziskās sagatavotības, valsts valodas zināšanu prasībām un morālajām un psiholoģiskajām īpašībām un ja šīs personas, izņemot virsniekus speciālistus, instruktorus speciālistus un kareivjus speciālistus, līdz šā likuma 41. pantā profesionālajam dienestam noteiktā maksimālā vecuma sasniegšanai var dienēt ne mazāk kā piecus gadus.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uzsākot dienestu, karavīrs var neatbilst nevienai no šobrīd noteiktajām valsts palīdzības dzīvojamās telpas iegādei vai būvniecībai mērķgrupām, ja tam nav nodibināta ģimene, nav bērnu vai nav iegūta profesionālā izglītība.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Nacionālajos bruņotajos spēkos dien 6600 profesionālā dienesta karavīri. No tiem ½ nav bērnu un ½ ir pamata vai vidējā izglītība.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tajos gadījumos, kad profesionālā dienesta karavīrs iziet pamatapmācību Nacionālo bruņoto spēku Kājnieku skolā, apgūst apmācību kursus ārvalstīs, tas neiegūst tādu kvalifikāciju, lai atbilstu jaunā speciālista mērķgrupai.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pēc iespējas izdevīgākus nosacījumus Nacionālo bruņotu spēku karavīriem aizdevuma iegūšanai, Aizsardzības ministrija rosina noteikt profesionālā dienesta karavīram līdzīgus nosacījumus kā jaunajām ģimenēm ar bērniem – maksimālā darījuma summa, programmas ieviešanas kārtība, maksa par garantijas izsniegšanu u.c. Vienlaikus par Nacionālo bruņoto spēku karavīriem noteikts iesniedzamais dokuments, atbilstoši kuram Altum un aizdevējs var pārliecināties par atbilstību šim statusam, kā arī noteikts maksimālais garantijas apmērs līdz 25% (un 20 000 </w:t>
      </w:r>
      <w:r w:rsidR="00000000" w:rsidRPr="00000000" w:rsidDel="00000000">
        <w:rPr>
          <w:i w:val="1"/>
          <w:rtl w:val="0"/>
        </w:rPr>
        <w:t xml:space="preserve">euro</w:t>
      </w:r>
      <w:r w:rsidR="00000000" w:rsidRPr="00000000" w:rsidDel="00000000">
        <w:rPr>
          <w:rtl w:val="0"/>
        </w:rPr>
        <w:t xml:space="preserve">), ņemot vērā, ka vairākas Nacionālo bruņoto spēku bāzes atrodas ārpus lielajām pilsētām un aizdevuma saņemšanai var būt nepieciešama lielāka pašu dalība.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regulējums ir jāprecizē, lai nodrošinātu efektīvāku programmas ieviešanu.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līdzšinējo pieredzi programmas ieviešanā, vienlaikus ar grozījumiem iestrādāti citi nosacījumi efektīvākai programmas ieviešanai turpmāk: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Patērētāju tiesību aizsardzības likumam noteikts, ka minimālā garantija var būt 5% (nevis 10% kā līdz šim), kā arī gadījumā, ja iegādājamais mājoklis ir vismaz "A" ēku energoefektivitātes klases vai gandrīz nulles enerģijas ēka, precizēts garantijas apmērs līdz 5 % vai 5000 </w:t>
      </w:r>
      <w:r w:rsidR="00000000" w:rsidRPr="00000000" w:rsidDel="00000000">
        <w:rPr>
          <w:i w:val="1"/>
          <w:rtl w:val="0"/>
        </w:rPr>
        <w:t xml:space="preserve">euro </w:t>
      </w:r>
      <w:r w:rsidR="00000000" w:rsidRPr="00000000" w:rsidDel="00000000">
        <w:rPr>
          <w:rtl w:val="0"/>
        </w:rPr>
        <w:t xml:space="preserve">(nevis 5 %)</w:t>
      </w:r>
      <w:r w:rsidR="00000000" w:rsidRPr="00000000" w:rsidDel="00000000">
        <w:rPr>
          <w:i w:val="1"/>
          <w:rtl w:val="0"/>
        </w:rPr>
        <w:t xml:space="preserve">, </w:t>
      </w:r>
      <w:r w:rsidR="00000000" w:rsidRPr="00000000" w:rsidDel="00000000">
        <w:rPr>
          <w:rtl w:val="0"/>
        </w:rPr>
        <w:t xml:space="preserve">jo likums paredz 5% aizņēmēja pašu dalību, bet kredītiestādes nosaka pašu dalību, sākot no 10%. Šāds grozījums ļaus efektīvāk izmantot programmas finansējumu kā arī piešķirt garantiju atbilstoši aizņēmēja situācijai, nevis piešķirt maksimālo garantiju, kad tā nav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MK noteikumu 4., 5. un 11. punktā svītrot norādi uz garantijas pieteikumu, jo, programmu ieviešot portfeļgarantiju veidā, šāds pieteikums netiek gatavots;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precizēti citi nosacījumi, proti: grūtniecības fakta apliecināšana, garantija mājokļiem A ēku energoefektivitātes klases mājokļiem, atkārtotas garantijas pārbaudes nosacījumi (t.sk. precizējot pārbaudāmās personas, kā arī norādot, ka par šo nosacījumu aizdevēji pārliecinās tiem vienoti pieejamās datu bāzēs - Latvijas Bankas Kredītu reģistrā un Kredītu informācijas birojā), iekļauti papildu nosacījumi un skaidrāk noformulēti jau esošie nosacījumi informācijas apmaiņas un pārbaudes kārtībai starp Altum un aizdevējiem.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Minētās izmaiņas neietekmē programmas atbalsta saņēmēju loku, to ieviešanai nav nepieciešams papildus riska segums, bet tie nodrošinās skaidrākus un efektīvāk pārbaudāmos programmas ieviešanas nosacījumus.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Militārā dienesta likuma 55. panta trešā un piektā daļa paredz, ka profesionālā dienesta karavīru, ja nepieciešams, dienesta vietā aizsardzības ministra noteiktajā kārtībā uz dienesta laiku nodrošina ar Aizsardzības ministrijas valdījumā esošu dienesta dzīvojamo telpu. Aizsardzības ministrijai ir tiesības piešķirto valsts budžeta līdzekļu ietvaros iegādāties vai celt dzīvojamās mājas vai atsevišķus dzīvokļus profesionālā dienesta karavīru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aizsardzības infrastruktūras prioritātes, būvniecības vajadzības, tika secināts, ka veidot un uzturēt papildus militārajai infrastruktūrai arī dzīvokļu fondu, nebūtu lietderīgi un ekonomiski pamatoti. Tāpat jāņem vērā, ka dienesta dzīvoklis tiek nodrošināts uz dienesta laiku. Tas nozīmē, ka pēc profesionālā dienesta attiecību izbeigšanas karavīram un tā ģimenei jebkurā gadījumā ir jāmeklē dzīvesvieta, iespējams, jāiegādājas mājoklis. Attiecīgi karavīrs jau dienesta laikā varētu iegādāties īpašumā dzīvokli netālu no vai savā dienesta rajonā, veidot ģimeni tuvu dienesta vietai, kas ir būtisks faktors palikšanai dienestā un sekmē arī reģionu attīstību, iedzīvotāju piesaisti reģionos, kas savukārt dod pienesumu vietējām pašvaldībām, novadu attīstībai kopumā, vietējai uzņēmējdarbībai. Attiecīgi arī karavīru motivācijai dienestā šāds atbalsta pasākums ir ieguldījums nākotnē. Aizsardzības ministrija īsteno un plāno vairāku jaunveidojamo militāro bāzu, reģionālo poligonu, atbalsta infrastruktūras attīstību visā Latvijā, ik gadu investējot apmēram 55 milj. </w:t>
      </w:r>
      <w:r w:rsidR="00000000" w:rsidRPr="00000000" w:rsidDel="00000000">
        <w:rPr>
          <w:i w:val="1"/>
          <w:rtl w:val="0"/>
        </w:rPr>
        <w:t xml:space="preserve">euro</w:t>
      </w:r>
      <w:r w:rsidR="00000000" w:rsidRPr="00000000" w:rsidDel="00000000">
        <w:rPr>
          <w:rtl w:val="0"/>
        </w:rPr>
        <w:t xml:space="preserve">. Arvien vairāk tiek ieguldīts arī karavīru nodrošinājuma uzlabošanā, lai radītu motivāciju dienestam.  Karavīra atalgojuma sistēma ir būvēta uz palikšanu dienestā ilgtermiņā. Dati liecina, ka karavīru skaits pieaug un nākotnē to ir plānots vēl palielināt, īstenojot efektīvus rekrutēšanas pasākumus, tajā skaitā, valsts aizsardzības mācības ieviešana, Kadetu skolas izveide u.c.</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nodrošina efektīvu problēmas risināšanu, nodrošinot iespēju iegādāties nekustamo īpašumu ar Altum īstenoto finanšu instrumentu (pēc aizdevuma atmaksas finansējums izmantojams atkārtoti).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Nacionālo bruņoto spēku karavīri.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nodrošinās izdevīgākus nosacījumus Nacionālo bruņoto spēku karavīriem aizdevuma iegūšanai nekustamā īpašuma iegādei.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480 000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528 000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580 800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580 800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480 000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528 000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580 800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580 800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-480 000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-528 000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-580 800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-580 800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-480 000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-528 000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-580 800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-580 800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480 000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528 000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580 800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580 800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Tiek plānots, ka vidēji 2022. gadā nepieciešamā riska seguma apmērs, ko finansēs AM, ir 480 000 euro, 2023. gadā – 528 000 euro un 2024. gadā – 580 800 euro. 2022.-2024. finansējuma aprēķini veikti atbilstoši Altum sniegtajai informācijai. Savukārt 2025.g. finansējuma apmērs tiek plānots 2024.gada līmenī un tiks precizēts atbilstoši iepriekšējo gadu faktiskajiem izdevumiem.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Izdevumu aprēķins par nepieciešamā riska seguma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vidējā darījuma summa: 85 000 </w:t>
            </w:r>
            <w:r w:rsidR="00000000" w:rsidRPr="00000000" w:rsidDel="00000000">
              <w:rPr>
                <w:sz w:val="24"/>
                <w:i w:val="1"/>
                <w:rtl w:val="0"/>
              </w:rPr>
              <w:t xml:space="preserve">euro</w:t>
            </w:r>
            <w:r w:rsidR="00000000" w:rsidRPr="00000000" w:rsidDel="00000000">
              <w:rPr>
                <w:sz w:val="24"/>
                <w:rtl w:val="0"/>
              </w:rPr>
              <w:t xml:space="preserve"> (atbilstoši MK noteikumiem tiek noteikti maksimālie ierobežojumi);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maksimālais bankas aizdevums % no darījuma summas: 95% (atbilstoši Patērētāju tiesību aizsardzības 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vidējā aizdevuma summa: līdz 80 000 </w:t>
            </w:r>
            <w:r w:rsidR="00000000" w:rsidRPr="00000000" w:rsidDel="00000000">
              <w:rPr>
                <w:sz w:val="24"/>
                <w:i w:val="1"/>
                <w:rtl w:val="0"/>
              </w:rPr>
              <w:t xml:space="preserve">euro </w:t>
            </w:r>
            <w:r w:rsidR="00000000" w:rsidRPr="00000000" w:rsidDel="00000000">
              <w:rPr>
                <w:sz w:val="24"/>
                <w:rtl w:val="0"/>
              </w:rPr>
              <w:t xml:space="preserve">(atbilstoši  MK noteikumiem tiek noteikti maksimālie  ierobežojumi);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vidējā garantija % no aizdevuma: 15% (atbilstoši  MK noteikumiem tiek noteikti maksimālie ierobežojumi);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vidējā garantijas summa: 12 000 </w:t>
            </w:r>
            <w:r w:rsidR="00000000" w:rsidRPr="00000000" w:rsidDel="00000000">
              <w:rPr>
                <w:sz w:val="24"/>
                <w:i w:val="1"/>
                <w:rtl w:val="0"/>
              </w:rPr>
              <w:t xml:space="preserve">euro</w:t>
            </w:r>
            <w:r w:rsidR="00000000" w:rsidRPr="00000000" w:rsidDel="00000000">
              <w:rPr>
                <w:sz w:val="24"/>
                <w:rtl w:val="0"/>
              </w:rPr>
              <w:t xml:space="preserve"> (atbilstoši  MK noteikumiem tiek noteikti maksimālie ierobežojumi);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darījumu skaits gadā: līdz 200 karavīriem;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kopējais garantiju apjoms gadā: līdz 2 400 000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garantijai nepieciešamais riska segums %: 20% (pieņemts MK noteikumos noteiktais portfeļgarantiju multiplikators 5 jeb 20% - maksimālie sagaidāmie zaudējumi, kam finansējums ir riska segums);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garantijai nepieciešamais riska segums 2022.gadā (Aizsardzības ministrijas budžeta finansējums): 480 000 </w:t>
            </w:r>
            <w:r w:rsidR="00000000" w:rsidRPr="00000000" w:rsidDel="00000000">
              <w:rPr>
                <w:sz w:val="24"/>
                <w:i w:val="1"/>
                <w:rtl w:val="0"/>
              </w:rPr>
              <w:t xml:space="preserve">euro</w:t>
            </w:r>
            <w:r w:rsidR="00000000" w:rsidRPr="00000000" w:rsidDel="00000000">
              <w:rPr>
                <w:sz w:val="24"/>
                <w:rtl w:val="0"/>
              </w:rPr>
              <w:t xml:space="preserve">;- pēc Altum aprēķiniem nepieciešamais finansējums turpmākajos gados jāplāno ar 5-10% pieaugumu, ņemot vērā īpašumu cenu kāpumu, kā arī pieprasījuma pieaugumu programmai kļūstot populārākai starp karavīriem. Visi aprēķini ir balstīti uz prognozēm.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Finansējums tiks pārskaitīts AS “Attīstības finanšu institūcija Altum” kā riska segums, kas būs Altum saistības pret Aizsardzības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izpilde tiks nodrošināta Aizsardzības ministrijas piešķirto valsts budžeta līdzekļu ietvaros no budžeta programmas 22.00.00 “Nacionālie bruņotie spēki” budžeta apakšprogrammas 22.12.00 “Nacionālo bruņoto spēku uzturēšana”, veicot finansējuma grozījumus ekonomiskās klasifikācijas kodu griezumā.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Lai nodrošinātu nepieciešamā riska seguma apmēru, tika veikta finanšu resursu pārdale no Nacionālo bruņoto spēku uzturēšanas izdevumiem no centralizētām iegādēm, pārskatot iegāžu apjomus un plānotos grafikus.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Grozījumi Ministru kabineta 2009. gada 27. oktobra noteikumos Nr. 1250 "Noteikumi par valsts nodevu par īpašuma tiesību un ķīlas tiesību nostiprināšanu zemesgrāmatā".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profesionālā dienesta karavīriem tiks attiecināta Ministru kabineta 2009. gada 27. oktobra noteikumu Nr. 1250 “Noteikumi par valsts nodevu par īpašuma tiesību un ķīlas tiesību nostiprināšanu zemesgrāmatā” 7.</w:t>
      </w:r>
      <w:r w:rsidR="00000000" w:rsidRPr="00000000" w:rsidDel="00000000">
        <w:rPr>
          <w:vertAlign w:val="superscript"/>
          <w:rtl w:val="0"/>
        </w:rPr>
        <w:t xml:space="preserve">1</w:t>
      </w:r>
      <w:r w:rsidR="00000000" w:rsidRPr="00000000" w:rsidDel="00000000">
        <w:rPr>
          <w:rtl w:val="0"/>
        </w:rPr>
        <w:t xml:space="preserve"> punktā noteiktā valsts nodevas likme un 17.</w:t>
      </w:r>
      <w:r w:rsidR="00000000" w:rsidRPr="00000000" w:rsidDel="00000000">
        <w:rPr>
          <w:vertAlign w:val="superscript"/>
          <w:rtl w:val="0"/>
        </w:rPr>
        <w:t xml:space="preserve">1</w:t>
      </w:r>
      <w:r w:rsidR="00000000" w:rsidRPr="00000000" w:rsidDel="00000000">
        <w:rPr>
          <w:rtl w:val="0"/>
        </w:rPr>
        <w:t xml:space="preserve">punktā paredzētais atbrīvojums no valsts nodevas.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"Attīstības finanšu institūcija Altum" AS, Ekonomikas ministrija, Nacionālie bruņotie spēki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Finanšu nozares asociācija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https://tapportals.mk.gov.lv/public_participations/8a73d5c6-3f59-41ab-bd7a-17710e1bd4e0</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un priekšlikumi nav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finanšu institūcija Altum" 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Nacionālie bruņotie spēki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22-TA-753</w:t>
    </w:r>
    <w:r>
      <w:br/>
    </w:r>
    <w:r w:rsidR="00000000" w:rsidRPr="00000000" w:rsidDel="00000000">
      <w:rPr>
        <w:rtl w:val="0"/>
      </w:rPr>
      <w:t xml:space="preserve">Izdrukāts 29.07.2026. 23.19 - 6.0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22-TA-753</w:t>
    </w:r>
    <w:r>
      <w:br/>
    </w:r>
    <w:r w:rsidR="00000000" w:rsidRPr="00000000" w:rsidDel="00000000">
      <w:rPr>
        <w:rtl w:val="0"/>
      </w:rPr>
      <w:t xml:space="preserve">Izdrukāts 29.07.2026. 23.19 - 6.0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anotācija_(ex_ante)_22-TA-753.docx</dc:title>
</cp:coreProperties>
</file>

<file path=docProps/custom.xml><?xml version="1.0" encoding="utf-8"?>
<Properties xmlns="http://schemas.openxmlformats.org/officeDocument/2006/custom-properties" xmlns:vt="http://schemas.openxmlformats.org/officeDocument/2006/docPropsVTypes"/>
</file>