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Kredītiestāžu un ieguldījumu brokeru sabiedrību darbības atjaunošanas un noregulējuma likumā"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Kredītiestāžu un ieguldījumu brokeru sabiedrību darbības atjaunošanas un noregulējuma likumā” (turpmāk - Likumprojekts) izstrādāts, lai pārņemtu Eiropas Parlamenta un Padomes 2022. gada 14. decembra direktīvu (ES) 2022/2556 ar ko groza Direktīvas 2009/65/EK, 2009/138/EK, 2011/61/ES, 2013/36/ES, 2014/59/ES, 2014/65/ES, (ES) 2015/2366 un (ES) 2016/2341 attiecībā uz finanšu nozares digitālās darbības noturību (turpmāk – Direktīva Nr. 2022/2556).</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samazinātu digitālo tehnoloģiju izmantošanas riskus, likumprojekts paredz noteikt, ka kredītiestādēm un ieguldījumu brokeru sabiedrībām ir pienākums izveidot un pārvaldīt tīklu un informācijas sistēmu atbilstoši Eiropas Parlamenta un Padomes 2022. gada 14. decembra Regulai (ES) 2022/2554 par finanšu nozares digitālās darbības noturību un ar ko groza Regulas (EK) Nr. 1060/2009, (ES) Nr. 648/2012, (ES) Nr. 600/2014, (ES) Nr. 909/2014 un (ES) 2016/1011 (turpmāk – Regula Nr. 2022/2554).</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Nākamā diena pēc izsludināšanas (likumprojektam)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Spēkā stāšanās noteikta, jo saskaņā ar Direktīvas Nr. 2022/2556 9. pantu, minētās direktīvas prasības piemēro no 2025. gada 17. janvāra.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Direktīvas Nr. 2022/2556 5. panta pārņemšana ir sistēmiski saistīta ar Regulas Nr. 2022/2554 tiešas piemērošanas nodrošināšanu.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 Nr. 2022/2554 paredz digitālās darbības noturības prasību piemērošanu finanšu tirgus dalībniekiem un Direktīva Nr. 2022/2556 ir minētās regulas pakārtotais normatīvais akts. Regulas Nr. 2022/2554 prasību ieviešanu nodrošina likumprojekts “Finanšu tirgus digitālās darbības noturības un mākslīgā intelekta izmantošanas likums” (24-TA-2371), savukārt, lai pārņemtu Direktīvas Nr. 2022/2556 5. pantu, ir jāveic precizējumi Kredītiestāžu un ieguldījumu brokeru sabiedrību darbības atjaunošanas un noregulējuma likumā.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 pants precizē Kredītiestāžu un ieguldījumu brokeru sabiedrību darbības atjaunošanas un noregulējuma likuma 11. panta sestās daļas 3. punktu, paredzot to, ka noregulējuma plānā iekļauj arī digitālās darbības noturības aspektus. Ar minēto grozījumu tiek pārņemt Direktīvas Nr. 2022/2556 5. panta 1. punkta "a"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ar precizējumu Kredītiestāžu un ieguldījumu brokeru sabiedrību darbības atjaunošanas un noregulējuma likuma 11. panta sestās daļas 17. punktā tiek pārņemts Direktīvas Nr. 2022/2556 5. panta 1. punkta "b" apakšpunkts, nosakot, ka iestādes operacionālo procesu nepārtrauktas darbības nodrošināšanas pasākumu aprakstā jāiekļauj arī apraksts par tīklu un informācijas sistēmām atbilstoši Regulai Nr. 2022/2554.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2. pants paredz to, ka piemērotā soda nauda ir ieskaitāma valsts pamatbudžetā, tādejādi novēršot  interpretācijas iespējas par budžetu, kas saņem piemēroto soda naudu.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papildina arī informatīvo atsauci uz Eiropas Savienības direktīvām ar atsauci uz Direktīvu Nr. 2022/2556.</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Kredītiestādes un ieguldījumu brokeru sabiedrības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 Nr. 2022/2554 aizstāj esošās infromācijas tehnoloģiju prasības regulētā kredītiestādēm un ieguldījumu brokeru sabiedrībām, proti, minētā regula harmonizē un konsolidē prasības attiecībā uz digitālās darbības noturību finanšu tirgus dalībniekiem, lai nodrošinātu konsekventu pieeju minēto prasību piemērošanā visā 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saistīts ar likumprojektu “Finanšu tirgus digitālās darbības noturības un mākslīgā intelekta izmantošanas likums” (24-TA-2371), likumprojektu "Grozījumi Ieguldījumu pārvaldes sabiedrību likumā" (24-TA-2433), likumprojektu "Grozījumi Apdrošināšanas un pārapdrošināšanas likumā" (24-TA-2434), likumprojektu "Grozījumi Alternatīvo ieguldījumu fondu un to pārvaldnieku likumā" (24-TA-2435), likumprojektu "Grozījumi Kredītiestāžu likumā" (24-TA-2436), likumprojektu "Grozījumi Ieguldījumu brokeru sabiedrību likumā" (24-TA-2441), likumprojektu "Grozījumi Finanšu instrumentu tirgus likumā" (24-TA-2442), likumprojektu "Grozījumi Maksājumu pakalpojumu un elektroniskās naudas likumā" (24-TA-2443) un likumprojektu "Grozījumi Privāto pensiju fondu likumā" (24-TA-2444).</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32022L2556</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2022. gada 14. decembra direktīva (ES) 2022/2556 ar ko groza Direktīvas 2009/65/EK, 2009/138/EK, 2011/61/ES, 2013/36/ES, 2014/59/ES, 2014/65/ES, (ES) 2015/2366 un (ES) 2016/2341 attiecībā uz finanšu nozares digitālās darbības noturību.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nodrošina Direktīvas Nr. 2022/2556 pārņemšanu.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2022. gada 14. decembra direktīva (ES) 2022/2556 ar ko groza Direktīvas 2009/65/EK, 2009/138/EK, 2011/61/ES, 2013/36/ES, 2014/59/ES, 2014/65/ES, (ES) 2015/2366 un (ES) 2016/2341 attiecībā uz finanšu nozares digitālās darbības noturību.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Nr. 2022/2556 1. panta 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Ieguldījumu pārvaldes sabiedrību likuma 13. panta pirmās daļas 4.</w:t>
            </w:r>
            <w:r w:rsidR="00000000" w:rsidRPr="00000000" w:rsidDel="00000000">
              <w:rPr>
                <w:sz w:val="24"/>
                <w:vertAlign w:val="superscript"/>
                <w:rtl w:val="0"/>
              </w:rPr>
              <w:t xml:space="preserve">1</w:t>
            </w:r>
            <w:r w:rsidR="00000000" w:rsidRPr="00000000" w:rsidDel="00000000">
              <w:rPr>
                <w:sz w:val="24"/>
                <w:rtl w:val="0"/>
              </w:rPr>
              <w:t xml:space="preserve">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nenosaka stingrākas prasības kā ES tiesību akts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Nr. 2022/2556 2. panta 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Apdrošināšanas un pārapdrošināšanas likuma 54. panta 1.</w:t>
            </w:r>
            <w:r w:rsidR="00000000" w:rsidRPr="00000000" w:rsidDel="00000000">
              <w:rPr>
                <w:sz w:val="24"/>
                <w:vertAlign w:val="superscript"/>
                <w:rtl w:val="0"/>
              </w:rPr>
              <w:t xml:space="preserve">1</w:t>
            </w:r>
            <w:r w:rsidR="00000000" w:rsidRPr="00000000" w:rsidDel="00000000">
              <w:rPr>
                <w:sz w:val="24"/>
                <w:rtl w:val="0"/>
              </w:rPr>
              <w:t xml:space="preserve">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nenosaka stingrākas prasības kā ES tiesību akts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Nr. 2022/2556 3.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Alternatīvo ieguldījumu fondu un to pārvaldnieku likuma 22. panta otrās daļas 2.</w:t>
            </w:r>
            <w:r w:rsidR="00000000" w:rsidRPr="00000000" w:rsidDel="00000000">
              <w:rPr>
                <w:sz w:val="24"/>
                <w:vertAlign w:val="superscript"/>
                <w:rtl w:val="0"/>
              </w:rPr>
              <w:t xml:space="preserve">1</w:t>
            </w:r>
            <w:r w:rsidR="00000000" w:rsidRPr="00000000" w:rsidDel="00000000">
              <w:rPr>
                <w:sz w:val="24"/>
                <w:rtl w:val="0"/>
              </w:rPr>
              <w:t xml:space="preserve">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nenosaka stingrākas prasības kā ES tiesību akts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Nr. 2022/2556 4. panta 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Kredītiestāžu likuma 10.</w:t>
            </w:r>
            <w:r w:rsidR="00000000" w:rsidRPr="00000000" w:rsidDel="00000000">
              <w:rPr>
                <w:sz w:val="24"/>
                <w:vertAlign w:val="superscript"/>
                <w:rtl w:val="0"/>
              </w:rPr>
              <w:t xml:space="preserve">1</w:t>
            </w:r>
            <w:r w:rsidR="00000000" w:rsidRPr="00000000" w:rsidDel="00000000">
              <w:rPr>
                <w:sz w:val="24"/>
                <w:rtl w:val="0"/>
              </w:rPr>
              <w:t xml:space="preserve"> panta astotā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nenosaka stingrākas prasības kā ES tiesību akts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Nr. 2022/2556 4. panta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Kredītiestāžu likuma 34.</w:t>
            </w:r>
            <w:r w:rsidR="00000000" w:rsidRPr="00000000" w:rsidDel="00000000">
              <w:rPr>
                <w:sz w:val="24"/>
                <w:vertAlign w:val="superscript"/>
                <w:rtl w:val="0"/>
              </w:rPr>
              <w:t xml:space="preserve">1</w:t>
            </w:r>
            <w:r w:rsidR="00000000" w:rsidRPr="00000000" w:rsidDel="00000000">
              <w:rPr>
                <w:sz w:val="24"/>
                <w:rtl w:val="0"/>
              </w:rPr>
              <w:t xml:space="preserve"> panta 1.</w:t>
            </w:r>
            <w:r w:rsidR="00000000" w:rsidRPr="00000000" w:rsidDel="00000000">
              <w:rPr>
                <w:sz w:val="24"/>
                <w:vertAlign w:val="superscript"/>
                <w:rtl w:val="0"/>
              </w:rPr>
              <w:t xml:space="preserve">1</w:t>
            </w:r>
            <w:r w:rsidR="00000000" w:rsidRPr="00000000" w:rsidDel="00000000">
              <w:rPr>
                <w:sz w:val="24"/>
                <w:rtl w:val="0"/>
              </w:rPr>
              <w:t xml:space="preserve">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nenosaka stingrākas prasības kā ES tiesību akts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Nr. 2022/2556 4. panta 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Kredītiestāžu likuma 34.</w:t>
            </w:r>
            <w:r w:rsidR="00000000" w:rsidRPr="00000000" w:rsidDel="00000000">
              <w:rPr>
                <w:sz w:val="24"/>
                <w:vertAlign w:val="superscript"/>
                <w:rtl w:val="0"/>
              </w:rPr>
              <w:t xml:space="preserve">2</w:t>
            </w:r>
            <w:r w:rsidR="00000000" w:rsidRPr="00000000" w:rsidDel="00000000">
              <w:rPr>
                <w:sz w:val="24"/>
                <w:rtl w:val="0"/>
              </w:rPr>
              <w:t xml:space="preserve"> panta ceturtā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nenosaka stingrākas prasības kā ES tiesību akts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Nr. 2022/2556 4. panta 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Kredītiestāžu likuma 101.</w:t>
            </w:r>
            <w:r w:rsidR="00000000" w:rsidRPr="00000000" w:rsidDel="00000000">
              <w:rPr>
                <w:sz w:val="24"/>
                <w:vertAlign w:val="superscript"/>
                <w:rtl w:val="0"/>
              </w:rPr>
              <w:t xml:space="preserve">3</w:t>
            </w:r>
            <w:r w:rsidR="00000000" w:rsidRPr="00000000" w:rsidDel="00000000">
              <w:rPr>
                <w:sz w:val="24"/>
                <w:rtl w:val="0"/>
              </w:rPr>
              <w:t xml:space="preserve"> panta pirmās daļas 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nenosaka stingrākas prasības kā ES tiesību akts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Nr. 2022/2556 5. panta 1. punkta "a"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Kredītiestāžu un ieguldījumu brokeru sabiedrību darbības atjaunošanas un noregulējuma likuma 11. panta sestās daļas 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nenosaka stingrākas prasības kā ES tiesību akts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Nr. 2022/2556 5. panta 1. punkta "b"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Kredītiestāžu un ieguldījumu brokeru sabiedrību darbības atjaunošanas un noregulējuma likuma 11. panta sestās daļas 17.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nenosaka stingrākas prasības kā ES tiesību akts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Nr. 2022/2556 5. panta 2. punkta "a", "b", "c"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Kredītiestāžu un ieguldījumu brokeru sabiedrību darbības atjaunošanas un noregulējuma likuma 5. panta sestā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nenosaka stingrākas prasības kā ES tiesību akts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Nr. 2022/2556 6. panta 1. punkta "a"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Ieguldījumu brokeru sabiedrību likuma 31. panta pirmās daļas 15.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nenosaka stingrākas prasības kā ES tiesību akts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Nr. 2022/2556 6. panta 1. punkta "b"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Ieguldījumu brokeru sabiedrību likuma 31. panta pirmās daļas 9.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nenosaka stingrākas prasības kā ES tiesību akts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Nr. 2022/2556 6. panta 2. punkta "a"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Finanšu instrumentu tirgus likuma 132.</w:t>
            </w:r>
            <w:r w:rsidR="00000000" w:rsidRPr="00000000" w:rsidDel="00000000">
              <w:rPr>
                <w:sz w:val="24"/>
                <w:vertAlign w:val="superscript"/>
                <w:rtl w:val="0"/>
              </w:rPr>
              <w:t xml:space="preserve">1</w:t>
            </w:r>
            <w:r w:rsidR="00000000" w:rsidRPr="00000000" w:rsidDel="00000000">
              <w:rPr>
                <w:sz w:val="24"/>
                <w:rtl w:val="0"/>
              </w:rPr>
              <w:t xml:space="preserve"> panta 1.</w:t>
            </w:r>
            <w:r w:rsidR="00000000" w:rsidRPr="00000000" w:rsidDel="00000000">
              <w:rPr>
                <w:sz w:val="24"/>
                <w:vertAlign w:val="superscript"/>
                <w:rtl w:val="0"/>
              </w:rPr>
              <w:t xml:space="preserve">1</w:t>
            </w:r>
            <w:r w:rsidR="00000000" w:rsidRPr="00000000" w:rsidDel="00000000">
              <w:rPr>
                <w:sz w:val="24"/>
                <w:rtl w:val="0"/>
              </w:rPr>
              <w:t xml:space="preserve">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nenosaka stingrākas prasības kā ES tiesību akts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Nr. 2022/2556 6. panta 3. punkta "a"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Finanšu instrumentu tirgus likuma 27. panta 2.</w:t>
            </w:r>
            <w:r w:rsidR="00000000" w:rsidRPr="00000000" w:rsidDel="00000000">
              <w:rPr>
                <w:sz w:val="24"/>
                <w:vertAlign w:val="superscript"/>
                <w:rtl w:val="0"/>
              </w:rPr>
              <w:t xml:space="preserve">1</w:t>
            </w:r>
            <w:r w:rsidR="00000000" w:rsidRPr="00000000" w:rsidDel="00000000">
              <w:rPr>
                <w:sz w:val="24"/>
                <w:rtl w:val="0"/>
              </w:rPr>
              <w:t xml:space="preserve"> daļas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nenosaka stingrākas prasības kā ES tiesību akts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Nr. 2022/2556 6. panta 3. punkta "b"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Finanšu instrumentu tirgus likuma 27. panta 2.</w:t>
            </w:r>
            <w:r w:rsidR="00000000" w:rsidRPr="00000000" w:rsidDel="00000000">
              <w:rPr>
                <w:sz w:val="24"/>
                <w:vertAlign w:val="superscript"/>
                <w:rtl w:val="0"/>
              </w:rPr>
              <w:t xml:space="preserve">1</w:t>
            </w:r>
            <w:r w:rsidR="00000000" w:rsidRPr="00000000" w:rsidDel="00000000">
              <w:rPr>
                <w:sz w:val="24"/>
                <w:rtl w:val="0"/>
              </w:rPr>
              <w:t xml:space="preserve"> daļas 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nenosaka stingrākas prasības kā ES tiesību akts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Nr. 2022/2556 6. panta 4. punkta "a"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Finanšu instrumentu tirgus likuma 35.</w:t>
            </w:r>
            <w:r w:rsidR="00000000" w:rsidRPr="00000000" w:rsidDel="00000000">
              <w:rPr>
                <w:sz w:val="24"/>
                <w:vertAlign w:val="superscript"/>
                <w:rtl w:val="0"/>
              </w:rPr>
              <w:t xml:space="preserve">1</w:t>
            </w:r>
            <w:r w:rsidR="00000000" w:rsidRPr="00000000" w:rsidDel="00000000">
              <w:rPr>
                <w:sz w:val="24"/>
                <w:rtl w:val="0"/>
              </w:rPr>
              <w:t xml:space="preserve"> panta 1.</w:t>
            </w:r>
            <w:r w:rsidR="00000000" w:rsidRPr="00000000" w:rsidDel="00000000">
              <w:rPr>
                <w:sz w:val="24"/>
                <w:vertAlign w:val="superscript"/>
                <w:rtl w:val="0"/>
              </w:rPr>
              <w:t xml:space="preserve">1</w:t>
            </w:r>
            <w:r w:rsidR="00000000" w:rsidRPr="00000000" w:rsidDel="00000000">
              <w:rPr>
                <w:sz w:val="24"/>
                <w:rtl w:val="0"/>
              </w:rPr>
              <w:t xml:space="preserve">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nenosaka stingrākas prasības kā ES tiesību akts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Nr. 2022/2556 6. panta 4. punkta "b"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Finanšu instrumentu tirgus likuma 35.</w:t>
            </w:r>
            <w:r w:rsidR="00000000" w:rsidRPr="00000000" w:rsidDel="00000000">
              <w:rPr>
                <w:sz w:val="24"/>
                <w:vertAlign w:val="superscript"/>
                <w:rtl w:val="0"/>
              </w:rPr>
              <w:t xml:space="preserve">1 </w:t>
            </w:r>
            <w:r w:rsidR="00000000" w:rsidRPr="00000000" w:rsidDel="00000000">
              <w:rPr>
                <w:sz w:val="24"/>
                <w:rtl w:val="0"/>
              </w:rPr>
              <w:t xml:space="preserve">panta 9.</w:t>
            </w:r>
            <w:r w:rsidR="00000000" w:rsidRPr="00000000" w:rsidDel="00000000">
              <w:rPr>
                <w:sz w:val="24"/>
                <w:vertAlign w:val="superscript"/>
                <w:rtl w:val="0"/>
              </w:rPr>
              <w:t xml:space="preserve">1</w:t>
            </w:r>
            <w:r w:rsidR="00000000" w:rsidRPr="00000000" w:rsidDel="00000000">
              <w:rPr>
                <w:sz w:val="24"/>
                <w:rtl w:val="0"/>
              </w:rPr>
              <w:t xml:space="preserve">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nenosaka stingrākas prasības kā ES tiesību akts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Nr. 2022/2556 7. panta 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Maksājumu pakalpojumu un elektroniskās naudas likuma 3. panta pirmās daļas 9.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nenosaka stingrākas prasības kā ES tiesību akts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Nr. 2022/2556 7. panta 2. punkta "a" apakšpunkta 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Maksājumu pakalpojumu un elektroniskās naudas likuma 11. panta pirmās daļas 18.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nenosaka stingrākas prasības kā ES tiesību akts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Nr. 2022/2556 7. panta 2. punkta "a" apakšpunkta ii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Maksājumu pakalpojumu un elektroniskās naudas likuma 11. panta pirmās daļas 14.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nenosaka stingrākas prasības kā ES tiesību akts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Nr. 2022/2556 7. panta 2. punkta "a" apakšpunkta iii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Maksājumu pakalpojumu un elektroniskās naudas likuma 11. panta pirmās daļas 16.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nenosaka stingrākas prasības kā ES tiesību akts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Nr. 2022/2556 7. panta 2. punkta "b"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Maksājumu pakalpojumu un elektroniskās naudas likuma 11. panta ceturtā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nenosaka stingrākas prasības kā ES tiesību akts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Nr. 2022/2556 7. panta 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Maksājumu pakalpojumu un elektroniskās naudas likuma 29. panta pirmā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nenosaka stingrākas prasības kā ES tiesību akts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Nr. 2022/2556 7. panta 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Maksājumu pakalpojumu un elektroniskās naudas likuma 104.</w:t>
            </w:r>
            <w:r w:rsidR="00000000" w:rsidRPr="00000000" w:rsidDel="00000000">
              <w:rPr>
                <w:sz w:val="24"/>
                <w:vertAlign w:val="superscript"/>
                <w:rtl w:val="0"/>
              </w:rPr>
              <w:t xml:space="preserve">1</w:t>
            </w:r>
            <w:r w:rsidR="00000000" w:rsidRPr="00000000" w:rsidDel="00000000">
              <w:rPr>
                <w:sz w:val="24"/>
                <w:rtl w:val="0"/>
              </w:rPr>
              <w:t xml:space="preserve"> panta otrā, trešā, ceturtā, piektā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nenosaka stingrākas prasības kā ES tiesību akts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Nr. 2022/2556 7. panta 5.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Maksājumu pakalpojumu un elektroniskās naudas likuma 104.</w:t>
            </w:r>
            <w:r w:rsidR="00000000" w:rsidRPr="00000000" w:rsidDel="00000000">
              <w:rPr>
                <w:sz w:val="24"/>
                <w:vertAlign w:val="superscript"/>
                <w:rtl w:val="0"/>
              </w:rPr>
              <w:t xml:space="preserve">2</w:t>
            </w:r>
            <w:r w:rsidR="00000000" w:rsidRPr="00000000" w:rsidDel="00000000">
              <w:rPr>
                <w:sz w:val="24"/>
                <w:rtl w:val="0"/>
              </w:rPr>
              <w:t xml:space="preserve"> panta trešā, ceturtā, piektā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nenosaka stingrākas prasības kā ES tiesību akts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Nr. 2022/2556 8.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Privāto pensiju fondu likuma 20. panta 3.</w:t>
            </w:r>
            <w:r w:rsidR="00000000" w:rsidRPr="00000000" w:rsidDel="00000000">
              <w:rPr>
                <w:sz w:val="24"/>
                <w:vertAlign w:val="superscript"/>
                <w:rtl w:val="0"/>
              </w:rPr>
              <w:t xml:space="preserve">1</w:t>
            </w:r>
            <w:r w:rsidR="00000000" w:rsidRPr="00000000" w:rsidDel="00000000">
              <w:rPr>
                <w:sz w:val="24"/>
                <w:rtl w:val="0"/>
              </w:rPr>
              <w:t xml:space="preserve">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nenosaka stingrākas prasības kā ES tiesību akts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https://tapportals.mk.gov.lv/public_participation/4f3436bd-43be-496b-a6cc-52fa23434b70</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 noslēdzās 2024. gada 18. oktobrī. Komentāri, iebildumi vai priekšlikumi par likumprojektu netika saņemti.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Banka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24-TA-2440</w:t>
    </w:r>
    <w:r>
      <w:br/>
    </w:r>
    <w:r w:rsidR="00000000" w:rsidRPr="00000000" w:rsidDel="00000000">
      <w:rPr>
        <w:rtl w:val="0"/>
      </w:rPr>
      <w:t xml:space="preserve">Izdrukāts 29.07.2026. 22.35 - 5.0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24-TA-2440</w:t>
    </w:r>
    <w:r>
      <w:br/>
    </w:r>
    <w:r w:rsidR="00000000" w:rsidRPr="00000000" w:rsidDel="00000000">
      <w:rPr>
        <w:rtl w:val="0"/>
      </w:rPr>
      <w:t xml:space="preserve">Izdrukāts 29.07.2026. 22.35 - 5.0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anotācija_(ex_ante)_24-TA-2440.docx</dc:title>
</cp:coreProperties>
</file>

<file path=docProps/custom.xml><?xml version="1.0" encoding="utf-8"?>
<Properties xmlns="http://schemas.openxmlformats.org/officeDocument/2006/custom-properties" xmlns:vt="http://schemas.openxmlformats.org/officeDocument/2006/docPropsVTypes"/>
</file>