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15. jūnija noteikumos Nr. 384 "Būvju tehniskās apsekošanas būvnormatīvs LBN 405-21""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nodrošināt augstu inženierbūvju ekspluatācijas drošuma uzraudzību, nosakot Ministru kabineta 2021. gada 15. jūnija noteikumos Nr. 384 "Būvju tehniskās apsekošanas būvnormatīvs LBN 405-21" (turpmāk - LBN 405-21) obligātu periodisko tehnisko apsekošanu vēja elektrostacijām, torņiem un mastiem, kuru augstums pārsniedz 60 metrus, lai savlaicīgi konstatētu būves tehniskā stāvokļa pasliktināšanos un novērstu iespējamu apdraudējumu cilvēku dzīvībai, veselībai, videi un īpašumam.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LBN 405-21 nosaka obligātu periodisko tehnisko apsekošanu atsevišķām būvju grupām, tostarp publiskām ēkām, daudzstāvu daudzdzīvokļu dzīvojamām ēkām un atsevišķām inženierbūvēm, piemēram, tiltiem, pārvadiem, tuneļiem un atbalstsienām. Tomēr LBN 405-21 neparedz obligātu periodisko tehnisko apsekošanu vēja elektrostacijām, torņiem un mastiem, kuru augstums pārsniedz 60 metrus.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Augstas inženierbūves – vēja elektrostacijas, torņi un masti, kuru augstums pārsniedz 60 metrus, ekspluatācijas laikā ir pakļautas vēja slodžu, noguruma, korozijas, vibrācijas un citu ārējo faktoru iedarbībai, kas ilgtermiņā var ietekmēt to tehnisko stāvokli un ekspluatācijas drošumu. Būves konstrukciju bojājumi vai sabrukums var radīt būtisku apdraudējumu cilvēku dzīvībai un veselībai, videi, kā arī trešo personu īpašumam.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LBN 405-21 neparedz pienākumu periodiski veikt šo inženierbūvju tehnisko apsekošanu, līdz ar to nav vienota preventīva mehānisma, kas nodrošinātu regulāru būvju tehniskā stāvokļa izvērtēšanu un savlaicīgu potenciālo bojājumu konstatēšanu.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LBN 405-21 ar prasību vēja elektrostacijām, torņiem un mastiem, kuru augstums pārsniedz 60 metrus, veikt periodisko tehnisko apsekošanu ne retāk kā reizi 10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pārejas regulējums inženierbūvēm, kas nodotas ekspluatācijā pirms 2017. gada 1. janvāra un kurām pēdējo 10 gadu laikā tehniskā apsekošana nav veikta, paredzot pirmo periodisko tehnisko apsekošanu veikt līdz 2028.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metru augstuma kritērijs izvēlēts, ņemot vērā nepieciešamību noteikt prioritāru periodiskās tehniskās apsekošanas pienākumu augstām inženierbūvēm, kuru konstrukcijas ekspluatācijas laikā ir pakļautas būtiskām vēja slodzēm, dinamiskām slodzēm, vibrācijām, nogurumam un citiem vides iedarbības faktoriem. Palielinoties būves augstumam, palielinās vēja iedarbības un ar to saistīto dinamisko efektu nozīme. 60 metru robeža noteikta kā praktisks riska kritērijs, lai periodiskās tehniskās apsekošanas pienākumu attiecinātu uz augstākajām vēja elektrostacijām, torņiem un mastiem, vienlaikus neradot nesamērīgu slogu ievērojami plašākam zemāku inženierbūvju lokam. Minētais augstuma kritērijs nav saistīts ar būves grupu, bet ir izvēlēts, ņemot vērā  nepieciešamību prioritāri uzraudzīt augstas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Periodiskās tehniskās apsekošanas intervāls – ne retāk kā reizi 10 gados – izvēlēts, ņemot vērā nepieciešamību nodrošināt regulāru, bet samērīgu būves tehniskā stāvokļa pārbaudi. Desmit gadu intervāls nodrošina, ka būves tehniskais stāvoklis tiek sistemātiski izvērtēts visā tās ekspluatācijas laikā, vienlaikus ņemot vērā, ka būves tehniskais stāvoklis tiek uzraudzīts arī tās ikdienas ekspluatācijas, uzturēšanas un tehniskās apkopes ietvaros. Tādējādi periodiskā tehniskā apsekošana reizi 10 gados ir papildu preventīvs kontroles mehānisms, nevis vienīgais būves tehniskā stāvokļa uzraudzības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405-21 grozījumos paredzētā prasība veikt periodisku tehnisko apsekošanu vēja elektrostacijām, torņiem un mastiem, kuru augstums pārsniedz 60 metrus, nav attiecināma uz elektroapgādes komersantu līnijveida (lineārajām) inženierbūvēm un to sastāvā esošajiem elektropārvades līniju balstiem, kā arī ar šīm līnijveida inženierbūvēm saistītajām transformatoru apakšstaciju un sadalietaišu ēkām, ciktāl uz tām saskaņā ar LBN 405-21 2.1. apakšpunktu neattiecas būvnormatīva piemērošanas joma. Tāpat minētā prasība nav attiecināma uz elektroapgādes komersantu apakšstaciju teritorijā izvietotām būvēm un inženierbūvēm, kas funkcionāli nodrošina elektroenerģijas sistēmas infrastruktūras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vēja elektrostacijas periodisko tehnisko apsekošanu, būvkonstrukciju tehniskā stāvokļa novērtēšanai tehniskās apsekošanas veicējs var izmantot arī būves ekspluatācijas laikā sagatavoto tehnisko dokumentāciju un iepriekš veikto pārbaužu rezultātus. Tie var ietvert vēja elektrostacijas ražotāja (OEM), tā pilnvarota servisa uzņēmuma, sertifikācijas institūcijas vai cita kompetenta tehniskā eksperta veiktās tehniskās pārbaudes un inspekcijas, tehniskās apkopes dokumentāciju, konstrukciju pārbaudes un mērījumu rezultātus, defektu un bojājumu uzskaiti, iepriekšējo tehnisko apsekošanu rezultātus un citu pieejamo dokumentāciju, kas raksturo būvkonstrukciju tehnisko stāvokli. Tehniskās apsekošanas veicējs izvērtē minētās informācijas aktualitāti un atbilstību un veic nepieciešamās pārbaudes, lai noteiktu būvkonstrukciju tehnisko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405-21 grozījumi var ietekmēt fiziskās personas, kuru īpašumā ir vēja elektrostacijas, torņi vai masti, kuru augstums pārsniedz 60 metrus, kā arī būvspeciālistus, kas veic periodisko tehnisko apsekošanu.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secināms, ka fizisko personu īpašumā esošo šādu inženierbūvju skaits ir neliels, jo lielākā daļa vēja elektrostaciju, kā arī elektronisko sakaru torņu un mastu pieder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rezultātā fiziskajām personām, kuru īpašumā ir minētās inženierbūves, radīsies pienākums organizēt periodisko tehnisko apsekošanu ne retāk kā reizi 10 gados. Ņemot vērā, ka tehniskā apsekošana jāveic tikai reizi 10 gados, administratīvais un finansiālais slogs ir uzskatāms par samērīgu.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rīcībā esošās informācijas un būvniecības nozares speciālistu sniegtā vērtējuma vienas augstas inženierbūves periodiskās tehniskās apsekošanas izmaksas orientējoši ir no 1 000 līdz 5 000 </w:t>
      </w:r>
      <w:r w:rsidR="00000000" w:rsidRPr="00000000" w:rsidDel="00000000">
        <w:rPr>
          <w:i w:val="1"/>
          <w:rtl w:val="0"/>
        </w:rPr>
        <w:t xml:space="preserve">euro</w:t>
      </w:r>
      <w:r w:rsidR="00000000" w:rsidRPr="00000000" w:rsidDel="00000000">
        <w:rPr>
          <w:rtl w:val="0"/>
        </w:rPr>
        <w:t xml:space="preserve"> atkarībā no būves veida un izmantotajām apsekošanas metodēm.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LBN 405-21 grozījumi galvenokārt ietekmēs juridiskās personas, kuru īpašumā vai valdījumā ir vēja elektrostacijas, torņi un masti, kuru augstums pārsniedz 60 metrus, kā arī būvkomersantus, kas veic tehniskās apsekošanas.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publiski pieejamo informāciju, secināms, ka regulējums attieksies uz vairāk nekā 100 ekspluatācijā esošām vēja elektrostacijām (vēja turbīnām), kā arī vairākiem desmitiem elektronisko sakaru, radio un citu torņu un mastu.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rezultātā būvju īpašniekiem radīsies pienākums organizēt periodisko tehnisko apsekošanu ne retāk kā reizi 10 gados. Vienlaikus būvkomersantiem var pieaugt pieprasījums pēc tehniskās apsekošanas pakalpojumiem. Ņemot vērā, ka apsekošana jāveic tikai reizi 10 gados, administratīvais un finansiālais slogs ir uzskatāms par samērīgu.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rīcībā esošās informācijas un būvniecības nozares speciālistu sniegtā vērtējuma vienas augstas inženierbūves periodiskās tehniskās apsekošanas izmaksas orientējoši ir no 1 000 līdz 5 000 </w:t>
      </w:r>
      <w:r w:rsidR="00000000" w:rsidRPr="00000000" w:rsidDel="00000000">
        <w:rPr>
          <w:i w:val="1"/>
          <w:rtl w:val="0"/>
        </w:rPr>
        <w:t xml:space="preserve">euro</w:t>
      </w:r>
      <w:r w:rsidR="00000000" w:rsidRPr="00000000" w:rsidDel="00000000">
        <w:rPr>
          <w:rtl w:val="0"/>
        </w:rPr>
        <w:t xml:space="preserve"> atkarībā no būves veida un izmantotajām apsekošanas metodēm.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 tika nodrošināta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rezultātu apkopojums publicēts TAP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26-TA-1173</w:t>
    </w:r>
    <w:r>
      <w:br/>
    </w:r>
    <w:r w:rsidR="00000000" w:rsidRPr="00000000" w:rsidDel="00000000">
      <w:rPr>
        <w:rtl w:val="0"/>
      </w:rPr>
      <w:t xml:space="preserve">Izdrukāts 25.08.2026. 14.30 - 2.0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26-TA-1173</w:t>
    </w:r>
    <w:r>
      <w:br/>
    </w:r>
    <w:r w:rsidR="00000000" w:rsidRPr="00000000" w:rsidDel="00000000">
      <w:rPr>
        <w:rtl w:val="0"/>
      </w:rPr>
      <w:t xml:space="preserve">Izdrukāts 25.08.2026. 14.30 - 2.0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anotācija_(ex_ante)_26-TA-1173.docx</dc:title>
</cp:coreProperties>
</file>

<file path=docProps/custom.xml><?xml version="1.0" encoding="utf-8"?>
<Properties xmlns="http://schemas.openxmlformats.org/officeDocument/2006/custom-properties" xmlns:vt="http://schemas.openxmlformats.org/officeDocument/2006/docPropsVTypes"/>
</file>