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32D2A3" w14:textId="3DA272BE" w:rsidR="006A35D0" w:rsidRPr="008E000C" w:rsidRDefault="008E000C" w:rsidP="00853CD3">
      <w:pPr>
        <w:spacing w:line="276" w:lineRule="auto"/>
        <w:jc w:val="center"/>
        <w:rPr>
          <w:rFonts w:ascii="Times New Roman" w:hAnsi="Times New Roman" w:cs="Times New Roman"/>
          <w:b/>
          <w:color w:val="000000" w:themeColor="text1"/>
          <w:w w:val="100"/>
          <w:sz w:val="24"/>
          <w:szCs w:val="24"/>
        </w:rPr>
      </w:pPr>
      <w:r w:rsidRPr="008E000C">
        <w:rPr>
          <w:rFonts w:ascii="Times New Roman" w:hAnsi="Times New Roman" w:cs="Times New Roman"/>
          <w:b/>
          <w:color w:val="000000" w:themeColor="text1"/>
          <w:w w:val="100"/>
          <w:sz w:val="24"/>
          <w:szCs w:val="24"/>
        </w:rPr>
        <w:t>Ekonomikas attīstības tendences un prognozes</w:t>
      </w:r>
      <w:r w:rsidR="00F77006">
        <w:rPr>
          <w:rStyle w:val="FootnoteReference"/>
          <w:rFonts w:ascii="Times New Roman" w:hAnsi="Times New Roman" w:cs="Times New Roman"/>
          <w:b/>
          <w:color w:val="000000" w:themeColor="text1"/>
          <w:w w:val="100"/>
          <w:sz w:val="24"/>
          <w:szCs w:val="24"/>
        </w:rPr>
        <w:footnoteReference w:id="1"/>
      </w:r>
    </w:p>
    <w:p w14:paraId="5A07EC3C" w14:textId="1A98429A" w:rsidR="006A35D0" w:rsidRPr="008E000C" w:rsidRDefault="006A35D0" w:rsidP="00B105FB">
      <w:pPr>
        <w:spacing w:after="0" w:line="276" w:lineRule="auto"/>
        <w:ind w:firstLine="720"/>
        <w:jc w:val="both"/>
        <w:rPr>
          <w:rFonts w:ascii="Times New Roman" w:hAnsi="Times New Roman" w:cs="Times New Roman"/>
          <w:bCs/>
          <w:color w:val="000000" w:themeColor="text1"/>
          <w:w w:val="100"/>
          <w:sz w:val="24"/>
          <w:szCs w:val="24"/>
        </w:rPr>
      </w:pPr>
      <w:r w:rsidRPr="008E000C">
        <w:rPr>
          <w:rFonts w:ascii="Times New Roman" w:hAnsi="Times New Roman" w:cs="Times New Roman"/>
          <w:bCs/>
          <w:color w:val="000000" w:themeColor="text1"/>
          <w:w w:val="100"/>
          <w:sz w:val="24"/>
          <w:szCs w:val="24"/>
        </w:rPr>
        <w:t xml:space="preserve">Covid-19 pandēmija ir būtiski ietekmējusi ekonomikas attīstību globālā mērogā un tai skaitā Latvijā. IKP 2020.gadā Latvijā saruka par 2,2%. Pateicoties apjomīgajiem valdības un Eiropas Savienības fondu atbalsta pasākumiem, kā arī </w:t>
      </w:r>
      <w:r w:rsidRPr="008E000C">
        <w:rPr>
          <w:rFonts w:ascii="Times New Roman" w:eastAsia="Times New Roman" w:hAnsi="Times New Roman" w:cs="Times New Roman"/>
          <w:bCs/>
          <w:color w:val="000000" w:themeColor="text1"/>
          <w:w w:val="100"/>
          <w:sz w:val="24"/>
          <w:szCs w:val="24"/>
          <w:lang w:eastAsia="lv-LV"/>
        </w:rPr>
        <w:t>uzlabojoties epidemioloģiskajai situācijai,</w:t>
      </w:r>
      <w:r w:rsidRPr="008E000C">
        <w:rPr>
          <w:rFonts w:ascii="Times New Roman" w:hAnsi="Times New Roman" w:cs="Times New Roman"/>
          <w:bCs/>
          <w:color w:val="000000" w:themeColor="text1"/>
          <w:w w:val="100"/>
          <w:sz w:val="24"/>
          <w:szCs w:val="24"/>
        </w:rPr>
        <w:t xml:space="preserve"> Latvijas ekonomika 2021.gadā sāka atveseļoties un IKP pieauga par 4,1 </w:t>
      </w:r>
      <w:bookmarkStart w:id="0" w:name="_GoBack"/>
      <w:r w:rsidRPr="008E000C">
        <w:rPr>
          <w:rFonts w:ascii="Times New Roman" w:hAnsi="Times New Roman" w:cs="Times New Roman"/>
          <w:bCs/>
          <w:color w:val="000000" w:themeColor="text1"/>
          <w:w w:val="100"/>
          <w:sz w:val="24"/>
          <w:szCs w:val="24"/>
        </w:rPr>
        <w:t>procentiem</w:t>
      </w:r>
      <w:bookmarkEnd w:id="0"/>
      <w:r w:rsidRPr="008E000C">
        <w:rPr>
          <w:rFonts w:ascii="Times New Roman" w:hAnsi="Times New Roman" w:cs="Times New Roman"/>
          <w:bCs/>
          <w:color w:val="000000" w:themeColor="text1"/>
          <w:w w:val="100"/>
          <w:sz w:val="24"/>
          <w:szCs w:val="24"/>
        </w:rPr>
        <w:t xml:space="preserve">. 2022.gada 24.februārī Krievijai iebrūkot Ukrainā, ir pasliktinājusies ģeopolitiskā situācija un ekonomiskās attīstības perspektīvas. Būtiski ir pieaugušas enerģijas un pārtikas cenas, pastiprinot inflācijas spiedienu laikā, kad dzīves dārdzība visā pasaulē jau strauji pieauga, atkopjoties no pandēmijas. </w:t>
      </w:r>
      <w:r w:rsidR="00405D6B">
        <w:rPr>
          <w:rFonts w:ascii="Times New Roman" w:hAnsi="Times New Roman" w:cs="Times New Roman"/>
          <w:bCs/>
          <w:color w:val="000000" w:themeColor="text1"/>
          <w:w w:val="100"/>
          <w:sz w:val="24"/>
          <w:szCs w:val="24"/>
        </w:rPr>
        <w:t>Krievijas k</w:t>
      </w:r>
      <w:r w:rsidRPr="008E000C">
        <w:rPr>
          <w:rFonts w:ascii="Times New Roman" w:hAnsi="Times New Roman" w:cs="Times New Roman"/>
          <w:bCs/>
          <w:color w:val="000000" w:themeColor="text1"/>
          <w:w w:val="100"/>
          <w:sz w:val="24"/>
          <w:szCs w:val="24"/>
        </w:rPr>
        <w:t>ara</w:t>
      </w:r>
      <w:r w:rsidR="00405D6B">
        <w:rPr>
          <w:rFonts w:ascii="Times New Roman" w:hAnsi="Times New Roman" w:cs="Times New Roman"/>
          <w:bCs/>
          <w:color w:val="000000" w:themeColor="text1"/>
          <w:w w:val="100"/>
          <w:sz w:val="24"/>
          <w:szCs w:val="24"/>
        </w:rPr>
        <w:t xml:space="preserve"> Ukrainā</w:t>
      </w:r>
      <w:r w:rsidRPr="008E000C">
        <w:rPr>
          <w:rFonts w:ascii="Times New Roman" w:hAnsi="Times New Roman" w:cs="Times New Roman"/>
          <w:bCs/>
          <w:color w:val="000000" w:themeColor="text1"/>
          <w:w w:val="100"/>
          <w:sz w:val="24"/>
          <w:szCs w:val="24"/>
        </w:rPr>
        <w:t xml:space="preserve"> dēļ globālo ekonomiku ietekmē arī izejmateriālu piegāžu ķēžu traucējumi.</w:t>
      </w:r>
    </w:p>
    <w:p w14:paraId="7CFE9BE0" w14:textId="4EF9EA1D" w:rsidR="006A35D0" w:rsidRPr="008E000C" w:rsidRDefault="006A35D0" w:rsidP="00B105FB">
      <w:pPr>
        <w:spacing w:after="0" w:line="276" w:lineRule="auto"/>
        <w:ind w:firstLine="720"/>
        <w:jc w:val="both"/>
        <w:rPr>
          <w:rFonts w:ascii="Times New Roman" w:hAnsi="Times New Roman" w:cs="Times New Roman"/>
          <w:bCs/>
          <w:color w:val="000000" w:themeColor="text1"/>
          <w:w w:val="100"/>
          <w:sz w:val="24"/>
          <w:szCs w:val="24"/>
        </w:rPr>
      </w:pPr>
      <w:r w:rsidRPr="008E000C">
        <w:rPr>
          <w:rFonts w:ascii="Times New Roman" w:hAnsi="Times New Roman" w:cs="Times New Roman"/>
          <w:bCs/>
          <w:color w:val="000000" w:themeColor="text1"/>
          <w:w w:val="100"/>
          <w:sz w:val="24"/>
          <w:szCs w:val="24"/>
        </w:rPr>
        <w:t>2022.gada 1.ceturksnī Latvijā vēl pilnā apmērā nebija jūtamas kara sekas</w:t>
      </w:r>
      <w:r w:rsidR="00327908">
        <w:rPr>
          <w:rFonts w:ascii="Times New Roman" w:hAnsi="Times New Roman" w:cs="Times New Roman"/>
          <w:bCs/>
          <w:color w:val="000000" w:themeColor="text1"/>
          <w:w w:val="100"/>
          <w:sz w:val="24"/>
          <w:szCs w:val="24"/>
        </w:rPr>
        <w:t>,</w:t>
      </w:r>
      <w:r w:rsidRPr="008E000C">
        <w:rPr>
          <w:rFonts w:ascii="Times New Roman" w:hAnsi="Times New Roman" w:cs="Times New Roman"/>
          <w:bCs/>
          <w:color w:val="000000" w:themeColor="text1"/>
          <w:w w:val="100"/>
          <w:sz w:val="24"/>
          <w:szCs w:val="24"/>
        </w:rPr>
        <w:t xml:space="preserve"> </w:t>
      </w:r>
      <w:r w:rsidR="00327908">
        <w:rPr>
          <w:rFonts w:ascii="Times New Roman" w:hAnsi="Times New Roman" w:cs="Times New Roman"/>
          <w:bCs/>
          <w:color w:val="000000" w:themeColor="text1"/>
          <w:w w:val="100"/>
          <w:sz w:val="24"/>
          <w:szCs w:val="24"/>
        </w:rPr>
        <w:t>IKP</w:t>
      </w:r>
      <w:r w:rsidR="00327908" w:rsidRPr="008E000C">
        <w:rPr>
          <w:rFonts w:ascii="Times New Roman" w:hAnsi="Times New Roman" w:cs="Times New Roman"/>
          <w:bCs/>
          <w:color w:val="000000" w:themeColor="text1"/>
          <w:w w:val="100"/>
          <w:sz w:val="24"/>
          <w:szCs w:val="24"/>
        </w:rPr>
        <w:t xml:space="preserve"> </w:t>
      </w:r>
      <w:r w:rsidRPr="008E000C">
        <w:rPr>
          <w:rFonts w:ascii="Times New Roman" w:hAnsi="Times New Roman" w:cs="Times New Roman"/>
          <w:bCs/>
          <w:color w:val="000000" w:themeColor="text1"/>
          <w:w w:val="100"/>
          <w:sz w:val="24"/>
          <w:szCs w:val="24"/>
        </w:rPr>
        <w:t>pieauga par 5,6%, salīdzinot ar 2021.gada 1.ceturksni. Kāpumu ietekmēja zemā bāze 2021.gada sākumā un pakāpeniska Covid-19 ierobežojumu atcelšana. Tomēr jau 2.ceturksnī IKP pieauguma tempi gada griezumā samazinājās līdz 2,9 procentiem</w:t>
      </w:r>
      <w:r w:rsidR="00E64826" w:rsidRPr="008E000C">
        <w:rPr>
          <w:rFonts w:ascii="Times New Roman" w:hAnsi="Times New Roman" w:cs="Times New Roman"/>
          <w:bCs/>
          <w:color w:val="000000" w:themeColor="text1"/>
          <w:w w:val="100"/>
          <w:sz w:val="24"/>
          <w:szCs w:val="24"/>
        </w:rPr>
        <w:t xml:space="preserve"> bet saskaņā ar iekšzemes kopprodukta ātro novērtējumu 3.ceturksnī IKP salīdzināmās cenās bija par 0,6% mazāks nekā 2021.gada 3.ceturksnī.</w:t>
      </w:r>
    </w:p>
    <w:p w14:paraId="0D6F7636" w14:textId="649748D4" w:rsidR="006A35D0" w:rsidRPr="008E000C" w:rsidRDefault="006A35D0" w:rsidP="00B105FB">
      <w:pPr>
        <w:spacing w:after="0" w:line="276" w:lineRule="auto"/>
        <w:ind w:firstLine="720"/>
        <w:jc w:val="both"/>
        <w:rPr>
          <w:rFonts w:ascii="Times New Roman" w:hAnsi="Times New Roman" w:cs="Times New Roman"/>
          <w:bCs/>
          <w:color w:val="000000" w:themeColor="text1"/>
          <w:w w:val="100"/>
          <w:sz w:val="24"/>
          <w:szCs w:val="24"/>
        </w:rPr>
      </w:pPr>
      <w:r w:rsidRPr="008E000C">
        <w:rPr>
          <w:rFonts w:ascii="Times New Roman" w:hAnsi="Times New Roman" w:cs="Times New Roman"/>
          <w:bCs/>
          <w:color w:val="000000" w:themeColor="text1"/>
          <w:w w:val="100"/>
          <w:sz w:val="24"/>
          <w:szCs w:val="24"/>
        </w:rPr>
        <w:t xml:space="preserve">Sagaidāms, ka tuvākajos ceturkšņos ekonomikas izaugsmes tempi būs krietni lēnāki nekā gada pirmajā pusē. Kara dēļ tiks </w:t>
      </w:r>
      <w:bookmarkStart w:id="1" w:name="_Hlk102035901"/>
      <w:r w:rsidRPr="008E000C">
        <w:rPr>
          <w:rFonts w:ascii="Times New Roman" w:hAnsi="Times New Roman" w:cs="Times New Roman"/>
          <w:bCs/>
          <w:color w:val="000000" w:themeColor="text1"/>
          <w:w w:val="100"/>
          <w:sz w:val="24"/>
          <w:szCs w:val="24"/>
        </w:rPr>
        <w:t>kavēta izaugsme, palielināsies inflācijas spiediens</w:t>
      </w:r>
      <w:bookmarkEnd w:id="1"/>
      <w:r w:rsidRPr="008E000C">
        <w:rPr>
          <w:rFonts w:ascii="Times New Roman" w:hAnsi="Times New Roman" w:cs="Times New Roman"/>
          <w:bCs/>
          <w:color w:val="000000" w:themeColor="text1"/>
          <w:w w:val="100"/>
          <w:sz w:val="24"/>
          <w:szCs w:val="24"/>
        </w:rPr>
        <w:t>. Ekonomikas ministrija prognozē, ka 2022.gadā ekonomikas izaugsme ģeopolitisko faktoru dēļ samazināsies par vismaz 3 procentpunktiem salīdzinājumā ar prognozēto pirms Krievijas iebrukuma Ukrainā. Tomēr izaugsme 2022.gadā paliks pozitīva un var sasniegt 2,6 % gada griezumā, bet 2023.gadā izaugsmes tempi būs mērenāki.</w:t>
      </w:r>
    </w:p>
    <w:p w14:paraId="76BA3222" w14:textId="04BE0F32" w:rsidR="006A35D0" w:rsidRPr="008E000C" w:rsidRDefault="006A35D0" w:rsidP="00B105FB">
      <w:pPr>
        <w:spacing w:after="0" w:line="276" w:lineRule="auto"/>
        <w:ind w:firstLine="720"/>
        <w:jc w:val="both"/>
        <w:rPr>
          <w:rFonts w:ascii="Times New Roman" w:hAnsi="Times New Roman" w:cs="Times New Roman"/>
          <w:bCs/>
          <w:color w:val="000000" w:themeColor="text1"/>
          <w:w w:val="100"/>
          <w:sz w:val="24"/>
          <w:szCs w:val="24"/>
        </w:rPr>
      </w:pPr>
      <w:r w:rsidRPr="008E000C">
        <w:rPr>
          <w:rFonts w:ascii="Times New Roman" w:hAnsi="Times New Roman" w:cs="Times New Roman"/>
          <w:bCs/>
          <w:color w:val="000000" w:themeColor="text1"/>
          <w:w w:val="100"/>
          <w:sz w:val="24"/>
          <w:szCs w:val="24"/>
        </w:rPr>
        <w:t>Atkopjoties no Covid-19 krīzes, būtisks devums ekonomikas izaugsmē ir mājsaimniecību patēriņam. 2021.gadā privātais patēriņš pieauga par 8,2%, bet 2022.gada 1.pusgadā – par 12,4%. Pieaugumu veicināja gan vidējās darba algas pieaugums, gan bezdarba mazināšanās, gan Covid-19 izplatības ierobežojumu pakāpeniska atcelšana. Tomēr otrajā pusgadā iekšējais patēriņš straujās inflācijas dēļ sabremzēsies vai pat nedaudz kritīsies.</w:t>
      </w:r>
    </w:p>
    <w:p w14:paraId="7228E797" w14:textId="6C66CA42" w:rsidR="006A35D0" w:rsidRPr="008E000C" w:rsidRDefault="006A35D0" w:rsidP="00B105FB">
      <w:pPr>
        <w:spacing w:after="0" w:line="276" w:lineRule="auto"/>
        <w:ind w:firstLine="720"/>
        <w:jc w:val="both"/>
        <w:rPr>
          <w:rFonts w:ascii="Times New Roman" w:eastAsia="Times New Roman" w:hAnsi="Times New Roman" w:cs="Times New Roman"/>
          <w:bCs/>
          <w:color w:val="000000" w:themeColor="text1"/>
          <w:w w:val="100"/>
          <w:sz w:val="24"/>
          <w:szCs w:val="24"/>
          <w:highlight w:val="yellow"/>
          <w:lang w:eastAsia="lv-LV"/>
        </w:rPr>
      </w:pPr>
      <w:bookmarkStart w:id="2" w:name="_Hlk85099076"/>
      <w:r w:rsidRPr="008E000C">
        <w:rPr>
          <w:rFonts w:ascii="Times New Roman" w:hAnsi="Times New Roman" w:cs="Times New Roman"/>
          <w:bCs/>
          <w:color w:val="000000" w:themeColor="text1"/>
          <w:w w:val="100"/>
          <w:sz w:val="24"/>
          <w:szCs w:val="24"/>
        </w:rPr>
        <w:t xml:space="preserve">Investīciju pieaugums ir mērens. </w:t>
      </w:r>
      <w:r w:rsidRPr="008E000C">
        <w:rPr>
          <w:rFonts w:ascii="Times New Roman" w:eastAsia="Times New Roman" w:hAnsi="Times New Roman" w:cs="Times New Roman"/>
          <w:bCs/>
          <w:color w:val="000000" w:themeColor="text1"/>
          <w:w w:val="100"/>
          <w:sz w:val="24"/>
          <w:szCs w:val="24"/>
          <w:lang w:eastAsia="lv-LV"/>
        </w:rPr>
        <w:t xml:space="preserve">2020.gadā tas Covid-19 krīzes ietekmē samazinājās par 2,6%, bet 2021.gadā pateicoties </w:t>
      </w:r>
      <w:r w:rsidRPr="008E000C">
        <w:rPr>
          <w:rFonts w:ascii="Times New Roman" w:hAnsi="Times New Roman" w:cs="Times New Roman"/>
          <w:bCs/>
          <w:color w:val="000000" w:themeColor="text1"/>
          <w:w w:val="100"/>
          <w:sz w:val="24"/>
          <w:szCs w:val="24"/>
        </w:rPr>
        <w:t>pieaugumam ieguldījumos mašīnās un iekārtās, kā arī intelektuālā īpašuma produktos</w:t>
      </w:r>
      <w:r w:rsidRPr="008E000C">
        <w:rPr>
          <w:rFonts w:ascii="Times New Roman" w:eastAsia="Times New Roman" w:hAnsi="Times New Roman" w:cs="Times New Roman"/>
          <w:bCs/>
          <w:color w:val="000000" w:themeColor="text1"/>
          <w:w w:val="100"/>
          <w:sz w:val="24"/>
          <w:szCs w:val="24"/>
          <w:lang w:eastAsia="lv-LV"/>
        </w:rPr>
        <w:t xml:space="preserve"> pieauga – par 2,9 procentiem.</w:t>
      </w:r>
      <w:r w:rsidR="00E64826" w:rsidRPr="008E000C">
        <w:rPr>
          <w:rFonts w:ascii="Times New Roman" w:eastAsia="Times New Roman" w:hAnsi="Times New Roman" w:cs="Times New Roman"/>
          <w:bCs/>
          <w:color w:val="000000" w:themeColor="text1"/>
          <w:w w:val="100"/>
          <w:sz w:val="24"/>
          <w:szCs w:val="24"/>
          <w:lang w:eastAsia="lv-LV"/>
        </w:rPr>
        <w:t xml:space="preserve"> </w:t>
      </w:r>
      <w:r w:rsidRPr="008E000C">
        <w:rPr>
          <w:rFonts w:ascii="Times New Roman" w:hAnsi="Times New Roman" w:cs="Times New Roman"/>
          <w:bCs/>
          <w:color w:val="000000" w:themeColor="text1"/>
          <w:w w:val="100"/>
          <w:sz w:val="24"/>
          <w:szCs w:val="24"/>
        </w:rPr>
        <w:t>Neraugoties uz lielo nenoteiktību ģeopolitiskās spriedzes dēļ 2022.gada 1.pusgadā investīcijas gada griezumā pieauga par 1,4%. Straujo izmaksu pieauguma dēļ investīcijas ēkās un būvēs samazinājās par 11,4%. Tajā pašā laikā ieguldījumi mašīnās, iekārtās un transportlīdzekļos pieauga par 11,4% un intelektuālā īpašuma produktos – par 21,5%.</w:t>
      </w:r>
      <w:r w:rsidRPr="008E000C">
        <w:rPr>
          <w:rFonts w:ascii="Times New Roman" w:eastAsia="Times New Roman" w:hAnsi="Times New Roman" w:cs="Times New Roman"/>
          <w:bCs/>
          <w:color w:val="000000" w:themeColor="text1"/>
          <w:w w:val="100"/>
          <w:sz w:val="24"/>
          <w:szCs w:val="24"/>
          <w:lang w:eastAsia="lv-LV"/>
        </w:rPr>
        <w:t xml:space="preserve"> Sagaidāms, ka turpmākajos ceturkšņos ģeopolitiskā spriedze un straujais izmaksu pieaugums kavēs ieguldījumus investīcijās, bet tās veicinās ievērojama ES līdzekļu ienākšana Latvijas ekonomikā.</w:t>
      </w:r>
    </w:p>
    <w:bookmarkEnd w:id="2"/>
    <w:p w14:paraId="264980D2" w14:textId="77777777" w:rsidR="006A35D0" w:rsidRPr="008E000C" w:rsidRDefault="006A35D0" w:rsidP="00B105FB">
      <w:pPr>
        <w:spacing w:after="0" w:line="276" w:lineRule="auto"/>
        <w:ind w:firstLine="720"/>
        <w:jc w:val="both"/>
        <w:rPr>
          <w:rFonts w:ascii="Times New Roman" w:hAnsi="Times New Roman" w:cs="Times New Roman"/>
          <w:bCs/>
          <w:color w:val="000000" w:themeColor="text1"/>
          <w:w w:val="100"/>
          <w:sz w:val="24"/>
          <w:szCs w:val="24"/>
        </w:rPr>
      </w:pPr>
      <w:r w:rsidRPr="008E000C">
        <w:rPr>
          <w:rFonts w:ascii="Times New Roman" w:hAnsi="Times New Roman" w:cs="Times New Roman"/>
          <w:bCs/>
          <w:color w:val="000000" w:themeColor="text1"/>
          <w:w w:val="100"/>
          <w:sz w:val="24"/>
          <w:szCs w:val="24"/>
        </w:rPr>
        <w:t>Preču eksportam ir nozīmīga loma izaugsmes nodrošināšanā. Gan 2020.gadā, gan arī 2021.gadā preču eksports pieauga. 2021.gadā, salīdzinot ar 2019.gadu, tas bija palielinājies par 12,2%. 2021.gadā lielākā pozitīvā ietekme pieaugumā bija koksnes un tās izstrādājumu, minerālo produktu un dzelzs un tērauda preču eksportam. 2022.gada 1.pusgadā preču eksports turpināja pieaugt – par 7,7% gada griezumā.</w:t>
      </w:r>
    </w:p>
    <w:p w14:paraId="6CDFC098" w14:textId="77777777" w:rsidR="006A35D0" w:rsidRPr="008E000C" w:rsidRDefault="006A35D0" w:rsidP="00B105FB">
      <w:pPr>
        <w:spacing w:after="0" w:line="276" w:lineRule="auto"/>
        <w:ind w:firstLine="720"/>
        <w:jc w:val="both"/>
        <w:rPr>
          <w:rFonts w:ascii="Times New Roman" w:hAnsi="Times New Roman" w:cs="Times New Roman"/>
          <w:bCs/>
          <w:color w:val="000000" w:themeColor="text1"/>
          <w:w w:val="100"/>
          <w:sz w:val="24"/>
          <w:szCs w:val="24"/>
        </w:rPr>
      </w:pPr>
      <w:r w:rsidRPr="008E000C">
        <w:rPr>
          <w:rFonts w:ascii="Times New Roman" w:hAnsi="Times New Roman" w:cs="Times New Roman"/>
          <w:bCs/>
          <w:color w:val="000000" w:themeColor="text1"/>
          <w:w w:val="100"/>
          <w:sz w:val="24"/>
          <w:szCs w:val="24"/>
        </w:rPr>
        <w:lastRenderedPageBreak/>
        <w:t xml:space="preserve">Pēc ievērojama pakalpojumu eksporta krituma Covid-19 pandēmijai sākoties, tas strauji atgūstas. 2020.gadā pakalpojumu eksports samazinājās par 15,9%. Kritumu lielā mērā ietekmēja Covid-19 ierobežojumu skarto aviācijas un tūrisma pakalpojumu nozaru eksporta, kā arī tranzīta pakalpojumu eksporta kritums. 2021.gadā situācija stabilizējās un kopumā pakalpojumu eksports pieauga par 7,3%. Savukārt 2022.gada 1.pusgadā pakalpojumu eksports palielinājās par 22,9%, salīdzinot ar 2021.gada 1.pusgadu, ko visbūtiskāk ietekmēja transporta pakalpojumu, </w:t>
      </w:r>
      <w:proofErr w:type="spellStart"/>
      <w:r w:rsidRPr="008E000C">
        <w:rPr>
          <w:rFonts w:ascii="Times New Roman" w:hAnsi="Times New Roman" w:cs="Times New Roman"/>
          <w:bCs/>
          <w:color w:val="000000" w:themeColor="text1"/>
          <w:w w:val="100"/>
          <w:sz w:val="24"/>
          <w:szCs w:val="24"/>
        </w:rPr>
        <w:t>datorpakalpojumu</w:t>
      </w:r>
      <w:proofErr w:type="spellEnd"/>
      <w:r w:rsidRPr="008E000C">
        <w:rPr>
          <w:rFonts w:ascii="Times New Roman" w:hAnsi="Times New Roman" w:cs="Times New Roman"/>
          <w:bCs/>
          <w:color w:val="000000" w:themeColor="text1"/>
          <w:w w:val="100"/>
          <w:sz w:val="24"/>
          <w:szCs w:val="24"/>
        </w:rPr>
        <w:t xml:space="preserve"> eksporta pieaugums. </w:t>
      </w:r>
    </w:p>
    <w:p w14:paraId="5EEC6BEC" w14:textId="77777777" w:rsidR="006A35D0" w:rsidRPr="008E000C" w:rsidRDefault="006A35D0" w:rsidP="00B105FB">
      <w:pPr>
        <w:spacing w:after="0" w:line="276" w:lineRule="auto"/>
        <w:ind w:firstLine="720"/>
        <w:jc w:val="both"/>
        <w:rPr>
          <w:rFonts w:ascii="Times New Roman" w:hAnsi="Times New Roman" w:cs="Times New Roman"/>
          <w:bCs/>
          <w:color w:val="000000" w:themeColor="text1"/>
          <w:w w:val="100"/>
          <w:sz w:val="24"/>
          <w:szCs w:val="24"/>
        </w:rPr>
      </w:pPr>
      <w:r w:rsidRPr="008E000C">
        <w:rPr>
          <w:rFonts w:ascii="Times New Roman" w:hAnsi="Times New Roman" w:cs="Times New Roman"/>
          <w:bCs/>
          <w:color w:val="000000" w:themeColor="text1"/>
          <w:w w:val="100"/>
          <w:sz w:val="24"/>
          <w:szCs w:val="24"/>
        </w:rPr>
        <w:t xml:space="preserve">Atkopjoties no Covid-19 krīzes, strauji pieaug arī preču un pakalpojumu imports. 2021.gadā tas pieauga par 15,3%, bet 2022.gada 1.pusgadā – par 14,2 procentiem. </w:t>
      </w:r>
    </w:p>
    <w:p w14:paraId="2EF51B5F" w14:textId="77777777" w:rsidR="006A35D0" w:rsidRPr="008E000C" w:rsidRDefault="006A35D0" w:rsidP="00B105FB">
      <w:pPr>
        <w:spacing w:after="0" w:line="276" w:lineRule="auto"/>
        <w:ind w:firstLine="720"/>
        <w:jc w:val="both"/>
        <w:rPr>
          <w:rFonts w:ascii="Times New Roman" w:hAnsi="Times New Roman" w:cs="Times New Roman"/>
          <w:bCs/>
          <w:color w:val="000000" w:themeColor="text1"/>
          <w:w w:val="100"/>
          <w:sz w:val="24"/>
          <w:szCs w:val="24"/>
        </w:rPr>
      </w:pPr>
      <w:r w:rsidRPr="008E000C">
        <w:rPr>
          <w:rFonts w:ascii="Times New Roman" w:hAnsi="Times New Roman" w:cs="Times New Roman"/>
          <w:bCs/>
          <w:color w:val="000000" w:themeColor="text1"/>
          <w:w w:val="100"/>
          <w:sz w:val="24"/>
          <w:szCs w:val="24"/>
        </w:rPr>
        <w:t>No 2011.gada līdz 2021.gadam Latvijā bija vērojams zems maksājuma bilances tekošā konta deficīts, kas liecina par Latvijas ekonomikas ārējo sabalansētību. 2022.gada 1.pusgadā tekošā kontā bija deficīts 8,6% no IKP. Turpmākajos gados, neskatoties uz ģeopolitisko nenoteiktību, sagaidāms, ka tekošais konts būs ar nelielu deficītu, neapdraudot Latvijas ekonomikas ārējo sabalansētību.</w:t>
      </w:r>
    </w:p>
    <w:p w14:paraId="0C27CECD" w14:textId="3E6A3D1D" w:rsidR="006A35D0" w:rsidRPr="008E000C" w:rsidRDefault="006A35D0" w:rsidP="00B105FB">
      <w:pPr>
        <w:spacing w:after="0" w:line="276" w:lineRule="auto"/>
        <w:ind w:firstLine="720"/>
        <w:jc w:val="both"/>
        <w:rPr>
          <w:rFonts w:ascii="Times New Roman" w:eastAsia="Times New Roman" w:hAnsi="Times New Roman" w:cs="Times New Roman"/>
          <w:bCs/>
          <w:color w:val="000000" w:themeColor="text1"/>
          <w:w w:val="100"/>
          <w:sz w:val="24"/>
          <w:szCs w:val="24"/>
          <w:lang w:eastAsia="lv-LV"/>
        </w:rPr>
      </w:pPr>
      <w:r w:rsidRPr="008E000C">
        <w:rPr>
          <w:rFonts w:ascii="Times New Roman" w:hAnsi="Times New Roman" w:cs="Times New Roman"/>
          <w:bCs/>
          <w:color w:val="000000" w:themeColor="text1"/>
          <w:w w:val="100"/>
          <w:sz w:val="24"/>
          <w:szCs w:val="24"/>
        </w:rPr>
        <w:t>Nozaru griezumā attīstības tendences ir ļoti atšķirīgas. Lai arī kopumā 2021.gadā IKP nedaudz pārsniedza pirmskrīzes 2019.gada līmeni, vairākās nozarēs ekonomiskā aktivitāte bija krietni zem šī līmeņa. Tā, izmitināšana un ēdināšanas pakalpojumi bija par 36,8%, mākslas, izklaides atpūtas pakalpojumi par 32,5%, transports un uzglabāšana par 12,2%, lauksaimniecības un mežsaimniecības par 11,2% un būvniecība par 16,3% zemākā līmenī nekā pirms krīzes. Savukārt lielākie pieaugumi šajā periodā bija vērojami veselības aprūpes, valsts pārvaldes un finanšu pakalpojumu nozarēs, kā arī enerģētikas nozarē. Labs pieaugums bija arī apstrādes rūpniecībā.</w:t>
      </w:r>
    </w:p>
    <w:p w14:paraId="6E35464B" w14:textId="77777777" w:rsidR="006A35D0" w:rsidRPr="008E000C" w:rsidRDefault="006A35D0" w:rsidP="00B105FB">
      <w:pPr>
        <w:spacing w:after="0" w:line="276" w:lineRule="auto"/>
        <w:ind w:firstLine="720"/>
        <w:jc w:val="both"/>
        <w:rPr>
          <w:rFonts w:ascii="Times New Roman" w:hAnsi="Times New Roman" w:cs="Times New Roman"/>
          <w:bCs/>
          <w:color w:val="000000" w:themeColor="text1"/>
          <w:w w:val="100"/>
          <w:sz w:val="24"/>
          <w:szCs w:val="24"/>
        </w:rPr>
      </w:pPr>
      <w:r w:rsidRPr="008E000C">
        <w:rPr>
          <w:rFonts w:ascii="Times New Roman" w:hAnsi="Times New Roman" w:cs="Times New Roman"/>
          <w:bCs/>
          <w:color w:val="000000" w:themeColor="text1"/>
          <w:w w:val="100"/>
          <w:sz w:val="24"/>
          <w:szCs w:val="24"/>
        </w:rPr>
        <w:t>Atceļot Covid-19 ierobežojumus, 2022.gada 1.pusgadā strauji pieauguma tempi bija vērojami nozarēs, kuras vissmagāk skāra pandēmija. Gada griezumā 1.pusgadā pieaugums izmitināšanas un ēdināšanas nozarē sasniedza 79,3%, mākslas izklaides un atpūtas nozarē – 31,2%. Straujš kāpums (+8,6%) bija arī komercpakalpojumu nozarē, kā arī IKT nozarē (par 12,4%). Vidējos tautsaimniecības pieauguma tempus pārsniedza arī lielākās ražojošās nozares – lauksaimniecībā un mežsaimniecībā gada griezumā pieaugums 1.pusgadā sasniedza 5%, savukārt apstrādes rūpniecībā – 6,9 procentus.</w:t>
      </w:r>
    </w:p>
    <w:p w14:paraId="0CD69174" w14:textId="77777777" w:rsidR="006A35D0" w:rsidRPr="008E000C" w:rsidRDefault="006A35D0" w:rsidP="00B105FB">
      <w:pPr>
        <w:spacing w:after="0" w:line="276" w:lineRule="auto"/>
        <w:ind w:firstLine="720"/>
        <w:jc w:val="both"/>
        <w:rPr>
          <w:rFonts w:ascii="Times New Roman" w:eastAsia="Times New Roman" w:hAnsi="Times New Roman" w:cs="Times New Roman"/>
          <w:bCs/>
          <w:color w:val="000000" w:themeColor="text1"/>
          <w:w w:val="100"/>
          <w:sz w:val="24"/>
          <w:szCs w:val="24"/>
          <w:highlight w:val="yellow"/>
          <w:lang w:eastAsia="lv-LV"/>
        </w:rPr>
      </w:pPr>
      <w:r w:rsidRPr="008E000C">
        <w:rPr>
          <w:rFonts w:ascii="Times New Roman" w:hAnsi="Times New Roman" w:cs="Times New Roman"/>
          <w:bCs/>
          <w:color w:val="000000" w:themeColor="text1"/>
          <w:w w:val="100"/>
          <w:sz w:val="24"/>
          <w:szCs w:val="24"/>
        </w:rPr>
        <w:t>Dažās nozarēs 1.pusgadā bija vērojams kritums. ES noteikto sankciju rezultātā ir sarucis preču apgrozījums ar Krievijas un Baltkrievijas tirgiem, kā rezultātā vairumtirdzniecības nozare saruka par 1,3%. Straujais izmaksu pieaugums ir licis pārskatīt iecerētos būvniecības projektus vai pagarinājis to izpildes termiņus – būvniecības nozares apjomi 1.pusgadā bija par 12,4% mazāki nekā pirms gada. Kritums 1.pusgadā bija arī, ieguves rūpniecības un enerģētikas nozarē.</w:t>
      </w:r>
    </w:p>
    <w:p w14:paraId="07A8B67D" w14:textId="77777777" w:rsidR="006A35D0" w:rsidRPr="008E000C" w:rsidRDefault="006A35D0" w:rsidP="00B105FB">
      <w:pPr>
        <w:widowControl w:val="0"/>
        <w:spacing w:after="0" w:line="276" w:lineRule="auto"/>
        <w:ind w:firstLine="720"/>
        <w:jc w:val="both"/>
        <w:rPr>
          <w:rFonts w:ascii="Times New Roman" w:hAnsi="Times New Roman" w:cs="Times New Roman"/>
          <w:bCs/>
          <w:color w:val="000000" w:themeColor="text1"/>
          <w:w w:val="100"/>
          <w:sz w:val="24"/>
          <w:szCs w:val="24"/>
        </w:rPr>
      </w:pPr>
      <w:r w:rsidRPr="008E000C">
        <w:rPr>
          <w:rFonts w:ascii="Times New Roman" w:hAnsi="Times New Roman" w:cs="Times New Roman"/>
          <w:bCs/>
          <w:color w:val="000000" w:themeColor="text1"/>
          <w:w w:val="100"/>
          <w:sz w:val="24"/>
          <w:szCs w:val="24"/>
        </w:rPr>
        <w:t xml:space="preserve">Covid-19 pandēmija un tai sekojošie ierobežojumi būtiski ietekmēja globālo pieprasījumu, kā rezultātā saruka cenas. Arī Latvijā 2020.gadā vairumā mēnešu bija vērojama deflācija un vidējā gada inflācija bija tikai 0,2%. 2021.gadā, pieaugot vakcinācijai un mazinoties Covid-19 ierobežojumiem, globālais pieprasījums strauji pieauga, savukārt piedāvājums (galvenokārt dēļ piegāžu ķēdēm) nespēja tik ātri pielāgoties, kas izraisīja cenu kāpumu izejmateriāliem, energoresursiem un pārtikai, īpaši 2021.gada otrajā pusē. </w:t>
      </w:r>
    </w:p>
    <w:p w14:paraId="6E6D9F8A" w14:textId="77777777" w:rsidR="006A35D0" w:rsidRPr="008E000C" w:rsidRDefault="006A35D0" w:rsidP="00B105FB">
      <w:pPr>
        <w:widowControl w:val="0"/>
        <w:spacing w:after="0" w:line="276" w:lineRule="auto"/>
        <w:ind w:firstLine="720"/>
        <w:jc w:val="both"/>
        <w:rPr>
          <w:rFonts w:ascii="Times New Roman" w:hAnsi="Times New Roman" w:cs="Times New Roman"/>
          <w:bCs/>
          <w:color w:val="000000" w:themeColor="text1"/>
          <w:w w:val="100"/>
          <w:sz w:val="24"/>
          <w:szCs w:val="24"/>
        </w:rPr>
      </w:pPr>
      <w:r w:rsidRPr="008E000C">
        <w:rPr>
          <w:rFonts w:ascii="Times New Roman" w:hAnsi="Times New Roman" w:cs="Times New Roman"/>
          <w:bCs/>
          <w:color w:val="000000" w:themeColor="text1"/>
          <w:w w:val="100"/>
          <w:sz w:val="24"/>
          <w:szCs w:val="24"/>
        </w:rPr>
        <w:t>2022.gadā papildus ietekmi uz cenu pieaugumu ir izraisījis Krievijas iebrukums Ukrainā un tai sekojošās sankcijas, kas rezultējas enerģijas un ražošanas izejmateriālu deficītā, kas savukārt kāpina cenu līmeni pasaulē. Latvijas inflācijas līmenis ir viens no augstākajiem ES – septembrī tas sasniedza 22,2%, bet gada vidējā inflācija bija 13,7%. Pieaugot enerģijas cenām un sākoties apkures sezonai, inflācija turpinās palielināties. Ekonomikas ministrija prognozē, ka kopumā 2022.gadā gada vidējā inflācija varētu sasniegt 16,9%. 2022.gada beigās un 2023.gada sākumā inflācijas tempiem vajadzētu sākt samazināties.</w:t>
      </w:r>
    </w:p>
    <w:p w14:paraId="7E8E71EE" w14:textId="77777777" w:rsidR="006A35D0" w:rsidRPr="008E000C" w:rsidRDefault="006A35D0" w:rsidP="00B105FB">
      <w:pPr>
        <w:spacing w:after="0" w:line="276" w:lineRule="auto"/>
        <w:ind w:firstLine="720"/>
        <w:jc w:val="both"/>
        <w:rPr>
          <w:rFonts w:ascii="Times New Roman" w:eastAsia="Times New Roman" w:hAnsi="Times New Roman" w:cs="Times New Roman"/>
          <w:bCs/>
          <w:color w:val="000000" w:themeColor="text1"/>
          <w:w w:val="100"/>
          <w:sz w:val="24"/>
          <w:szCs w:val="24"/>
          <w:lang w:eastAsia="lv-LV"/>
        </w:rPr>
      </w:pPr>
      <w:r w:rsidRPr="008E000C">
        <w:rPr>
          <w:rFonts w:ascii="Times New Roman" w:hAnsi="Times New Roman" w:cs="Times New Roman"/>
          <w:bCs/>
          <w:color w:val="000000" w:themeColor="text1"/>
          <w:w w:val="100"/>
          <w:sz w:val="24"/>
          <w:szCs w:val="24"/>
        </w:rPr>
        <w:t xml:space="preserve">Darba tirgus pakāpeniski atgūstas no Covid-19 pandēmijas šoka, tomēr krīzes strukturālie efekti saglabājas. </w:t>
      </w:r>
      <w:r w:rsidRPr="008E000C">
        <w:rPr>
          <w:rFonts w:ascii="Times New Roman" w:eastAsia="Calibri" w:hAnsi="Times New Roman" w:cs="Times New Roman"/>
          <w:bCs/>
          <w:color w:val="000000" w:themeColor="text1"/>
          <w:w w:val="100"/>
          <w:sz w:val="24"/>
          <w:szCs w:val="24"/>
        </w:rPr>
        <w:t xml:space="preserve">Nodarbināto skaits un nodarbinātības līmenis joprojām ir būtiski zemāks nekā 2019.gadā. </w:t>
      </w:r>
      <w:r w:rsidRPr="008E000C">
        <w:rPr>
          <w:rFonts w:ascii="Times New Roman" w:eastAsia="Times New Roman" w:hAnsi="Times New Roman" w:cs="Times New Roman"/>
          <w:bCs/>
          <w:color w:val="000000" w:themeColor="text1"/>
          <w:w w:val="100"/>
          <w:sz w:val="24"/>
          <w:szCs w:val="24"/>
          <w:lang w:eastAsia="lv-LV"/>
        </w:rPr>
        <w:t xml:space="preserve">Nodarbināto skaits </w:t>
      </w:r>
      <w:r w:rsidRPr="008E000C">
        <w:rPr>
          <w:rFonts w:ascii="Times New Roman" w:hAnsi="Times New Roman" w:cs="Times New Roman"/>
          <w:bCs/>
          <w:color w:val="000000" w:themeColor="text1"/>
          <w:w w:val="100"/>
          <w:sz w:val="24"/>
          <w:szCs w:val="24"/>
        </w:rPr>
        <w:t xml:space="preserve">2022.gada </w:t>
      </w:r>
      <w:r w:rsidRPr="008E000C">
        <w:rPr>
          <w:rFonts w:ascii="Times New Roman" w:eastAsia="Times New Roman" w:hAnsi="Times New Roman" w:cs="Times New Roman"/>
          <w:bCs/>
          <w:color w:val="000000" w:themeColor="text1"/>
          <w:w w:val="100"/>
          <w:sz w:val="24"/>
          <w:szCs w:val="24"/>
          <w:lang w:eastAsia="lv-LV"/>
        </w:rPr>
        <w:t xml:space="preserve">2.ceturksnī bija par vairāk nekā 20 tūkst. (2,3%) mazāks nekā attiecīgi 2019.gada 2.ceturksnī. </w:t>
      </w:r>
      <w:r w:rsidRPr="008E000C">
        <w:rPr>
          <w:rFonts w:ascii="Times New Roman" w:eastAsia="Calibri" w:hAnsi="Times New Roman" w:cs="Times New Roman"/>
          <w:bCs/>
          <w:color w:val="000000" w:themeColor="text1"/>
          <w:w w:val="100"/>
          <w:sz w:val="24"/>
          <w:szCs w:val="24"/>
        </w:rPr>
        <w:t xml:space="preserve">Krīze ir ietekmējusi iedzīvotāju ekonomisko aktivitāti, kas līdztekus demogrāfiskiem procesiem sašaurina darbaspēka piedāvājumu darba tirgū un paaugstina darbaspēka nepietiekamības riskus. Saglabājas augsts ilgstošo darba meklētāju īpatsvars, kas kopā ar reģionālām darba tirgus disproporcijām tuvākos gados var radīt strukturālā bezdarba riskus, kā arī saasināt darbaspēka pieejamības problēmu. </w:t>
      </w:r>
      <w:r w:rsidRPr="008E000C">
        <w:rPr>
          <w:rFonts w:ascii="Times New Roman" w:hAnsi="Times New Roman" w:cs="Times New Roman"/>
          <w:bCs/>
          <w:color w:val="000000" w:themeColor="text1"/>
          <w:w w:val="100"/>
          <w:sz w:val="24"/>
          <w:szCs w:val="24"/>
        </w:rPr>
        <w:t xml:space="preserve">2022.gada </w:t>
      </w:r>
      <w:r w:rsidRPr="008E000C">
        <w:rPr>
          <w:rFonts w:ascii="Times New Roman" w:eastAsia="Times New Roman" w:hAnsi="Times New Roman" w:cs="Times New Roman"/>
          <w:bCs/>
          <w:color w:val="000000" w:themeColor="text1"/>
          <w:w w:val="100"/>
          <w:sz w:val="24"/>
          <w:szCs w:val="24"/>
          <w:lang w:eastAsia="lv-LV"/>
        </w:rPr>
        <w:t>2.ceturksnī bija nodarbināti 885,2 tūkst. iedzīvotāji vecumā no 15-74 gadiem. Salīdzinot ar 2021.gada 2.ceturksni, nodarbināto skaits ir audzis par 2,7% jeb 23,6 tūkstošiem, kas ir bijis nozīmīgākais nodarbinātības pieaugums ceturkšņu griezumā kopš 2013.gada. Nodarbināto skaita pieaugumu joprojām lielā mērā nosaka zemās bāzes efekts – nodarbināto skaits Covid-19 krīzes laikā būtiski saruka un, atgriežoties ekonomiskajām aktivitātēm tautsaimniecībā, pakāpeniski palielinās arī darbaspēka pieprasījums.</w:t>
      </w:r>
    </w:p>
    <w:p w14:paraId="39B5C0F4" w14:textId="77777777" w:rsidR="006A35D0" w:rsidRPr="008E000C" w:rsidRDefault="006A35D0" w:rsidP="00B105FB">
      <w:pPr>
        <w:spacing w:after="0" w:line="276" w:lineRule="auto"/>
        <w:ind w:firstLine="720"/>
        <w:jc w:val="both"/>
        <w:rPr>
          <w:rFonts w:ascii="Times New Roman" w:eastAsia="Times New Roman" w:hAnsi="Times New Roman" w:cs="Times New Roman"/>
          <w:bCs/>
          <w:color w:val="000000" w:themeColor="text1"/>
          <w:w w:val="100"/>
          <w:sz w:val="24"/>
          <w:szCs w:val="24"/>
          <w:lang w:eastAsia="lv-LV"/>
        </w:rPr>
      </w:pPr>
      <w:r w:rsidRPr="008E000C">
        <w:rPr>
          <w:rFonts w:ascii="Times New Roman" w:hAnsi="Times New Roman" w:cs="Times New Roman"/>
          <w:bCs/>
          <w:color w:val="000000" w:themeColor="text1"/>
          <w:w w:val="100"/>
          <w:sz w:val="24"/>
          <w:szCs w:val="24"/>
        </w:rPr>
        <w:t>Kopš 2020. gada vidus saglabājas tendence samazināties bezdarba rādītājiem.</w:t>
      </w:r>
      <w:r w:rsidRPr="008E000C">
        <w:rPr>
          <w:rFonts w:ascii="Times New Roman" w:eastAsia="Times New Roman" w:hAnsi="Times New Roman" w:cs="Times New Roman"/>
          <w:bCs/>
          <w:color w:val="000000" w:themeColor="text1"/>
          <w:w w:val="100"/>
          <w:sz w:val="24"/>
          <w:szCs w:val="24"/>
          <w:lang w:eastAsia="lv-LV"/>
        </w:rPr>
        <w:t xml:space="preserve"> Bezdarba līmenis </w:t>
      </w:r>
      <w:r w:rsidRPr="008E000C">
        <w:rPr>
          <w:rFonts w:ascii="Times New Roman" w:hAnsi="Times New Roman" w:cs="Times New Roman"/>
          <w:bCs/>
          <w:color w:val="000000" w:themeColor="text1"/>
          <w:w w:val="100"/>
          <w:sz w:val="24"/>
          <w:szCs w:val="24"/>
        </w:rPr>
        <w:t xml:space="preserve">2022.gada </w:t>
      </w:r>
      <w:r w:rsidRPr="008E000C">
        <w:rPr>
          <w:rFonts w:ascii="Times New Roman" w:eastAsia="Times New Roman" w:hAnsi="Times New Roman" w:cs="Times New Roman"/>
          <w:bCs/>
          <w:color w:val="000000" w:themeColor="text1"/>
          <w:w w:val="100"/>
          <w:sz w:val="24"/>
          <w:szCs w:val="24"/>
          <w:lang w:eastAsia="lv-LV"/>
        </w:rPr>
        <w:t xml:space="preserve">2.ceturksnī bija 6,6%, kas ir par 1,3 procentpunktiem mazāks rādītājs nekā attiecīgi 2021.gada 2.ceturksnī. Kopumā </w:t>
      </w:r>
      <w:r w:rsidRPr="008E000C">
        <w:rPr>
          <w:rFonts w:ascii="Times New Roman" w:hAnsi="Times New Roman" w:cs="Times New Roman"/>
          <w:bCs/>
          <w:color w:val="000000" w:themeColor="text1"/>
          <w:w w:val="100"/>
          <w:sz w:val="24"/>
          <w:szCs w:val="24"/>
        </w:rPr>
        <w:t xml:space="preserve">2022.gada </w:t>
      </w:r>
      <w:r w:rsidRPr="008E000C">
        <w:rPr>
          <w:rFonts w:ascii="Times New Roman" w:eastAsia="Times New Roman" w:hAnsi="Times New Roman" w:cs="Times New Roman"/>
          <w:bCs/>
          <w:color w:val="000000" w:themeColor="text1"/>
          <w:w w:val="100"/>
          <w:sz w:val="24"/>
          <w:szCs w:val="24"/>
          <w:lang w:eastAsia="lv-LV"/>
        </w:rPr>
        <w:t>2.ceturksnī darba meklējumos bija 62,8 tūkst. iedzīvotāji vecumā no 15-74 gadiem, kas ir par 14,4% (10,6 tūkst.) mazāk nekā 2021.gada 2.ceturksnī.</w:t>
      </w:r>
    </w:p>
    <w:p w14:paraId="0CB83679" w14:textId="26278439" w:rsidR="006A35D0" w:rsidRPr="008E000C" w:rsidRDefault="006A35D0" w:rsidP="00B105FB">
      <w:pPr>
        <w:spacing w:after="0" w:line="276" w:lineRule="auto"/>
        <w:ind w:firstLine="720"/>
        <w:jc w:val="both"/>
        <w:rPr>
          <w:rFonts w:ascii="Times New Roman" w:hAnsi="Times New Roman" w:cs="Times New Roman"/>
          <w:bCs/>
          <w:color w:val="000000" w:themeColor="text1"/>
          <w:w w:val="100"/>
          <w:sz w:val="24"/>
          <w:szCs w:val="24"/>
        </w:rPr>
      </w:pPr>
      <w:r w:rsidRPr="008E000C">
        <w:rPr>
          <w:rFonts w:ascii="Times New Roman" w:hAnsi="Times New Roman" w:cs="Times New Roman"/>
          <w:bCs/>
          <w:color w:val="000000" w:themeColor="text1"/>
          <w:w w:val="100"/>
          <w:sz w:val="24"/>
          <w:szCs w:val="24"/>
        </w:rPr>
        <w:t>Ņemot vērā ģeopolitiskās situācijas saasināšanos</w:t>
      </w:r>
      <w:r w:rsidR="00327908">
        <w:rPr>
          <w:rFonts w:ascii="Times New Roman" w:hAnsi="Times New Roman" w:cs="Times New Roman"/>
          <w:bCs/>
          <w:color w:val="000000" w:themeColor="text1"/>
          <w:w w:val="100"/>
          <w:sz w:val="24"/>
          <w:szCs w:val="24"/>
        </w:rPr>
        <w:t>,</w:t>
      </w:r>
      <w:r w:rsidRPr="008E000C">
        <w:rPr>
          <w:rFonts w:ascii="Times New Roman" w:hAnsi="Times New Roman" w:cs="Times New Roman"/>
          <w:bCs/>
          <w:color w:val="000000" w:themeColor="text1"/>
          <w:w w:val="100"/>
          <w:sz w:val="24"/>
          <w:szCs w:val="24"/>
        </w:rPr>
        <w:t xml:space="preserve"> sagaidāms, ka situācija darba tirgū 2022.gada otrajā pusē būs nogaidoša. </w:t>
      </w:r>
      <w:r w:rsidRPr="008E000C">
        <w:rPr>
          <w:rFonts w:ascii="Times New Roman" w:eastAsia="Times New Roman" w:hAnsi="Times New Roman" w:cs="Times New Roman"/>
          <w:bCs/>
          <w:color w:val="000000" w:themeColor="text1"/>
          <w:w w:val="100"/>
          <w:sz w:val="24"/>
          <w:szCs w:val="24"/>
          <w:lang w:eastAsia="lv-LV"/>
        </w:rPr>
        <w:t>Latvijas ekonomikas noturība pret ārējiem šokiem iepriekšējos gados ir ievērojami nostiprinājusies, jo īpaši finanšu sektorā, tādejādi sankciju un eksporta tirgus sašaurināšanās tiešā ietekme uz Latvijas darba tirgu sagaidāma ierobežota. Darba tirgu turpinās balstīt nozaru atgūšanās no Covid-19 pandēmijas krīzes, gan arī valsts infrastruktūras objektu būvniecība, kā arī cita veida valsts investīcijas un ekonomikas atveseļošanās atbalsta pasākumi.</w:t>
      </w:r>
    </w:p>
    <w:p w14:paraId="120E6DAB" w14:textId="77777777" w:rsidR="006A35D0" w:rsidRPr="008E000C" w:rsidRDefault="006A35D0" w:rsidP="00B105FB">
      <w:pPr>
        <w:spacing w:after="0" w:line="276" w:lineRule="auto"/>
        <w:ind w:firstLine="720"/>
        <w:jc w:val="both"/>
        <w:rPr>
          <w:rFonts w:ascii="Times New Roman" w:eastAsia="Calibri" w:hAnsi="Times New Roman" w:cs="Times New Roman"/>
          <w:bCs/>
          <w:color w:val="000000" w:themeColor="text1"/>
          <w:w w:val="100"/>
          <w:sz w:val="24"/>
          <w:szCs w:val="24"/>
        </w:rPr>
      </w:pPr>
      <w:r w:rsidRPr="008E000C">
        <w:rPr>
          <w:rFonts w:ascii="Times New Roman" w:eastAsia="Calibri" w:hAnsi="Times New Roman" w:cs="Times New Roman"/>
          <w:bCs/>
          <w:color w:val="000000" w:themeColor="text1"/>
          <w:w w:val="100"/>
          <w:sz w:val="24"/>
          <w:szCs w:val="24"/>
        </w:rPr>
        <w:t xml:space="preserve">Mēneša vidējā bruto darba samaksa turpina strauji palielināties. </w:t>
      </w:r>
      <w:r w:rsidRPr="008E000C">
        <w:rPr>
          <w:rStyle w:val="Strong"/>
          <w:rFonts w:ascii="Times New Roman" w:hAnsi="Times New Roman" w:cs="Times New Roman"/>
          <w:b w:val="0"/>
          <w:color w:val="000000" w:themeColor="text1"/>
          <w:w w:val="100"/>
          <w:sz w:val="24"/>
          <w:szCs w:val="24"/>
          <w:shd w:val="clear" w:color="auto" w:fill="FFFFFF"/>
        </w:rPr>
        <w:t>2022.gada 2.ceturksnī, salīdzinot ar attiecīgo periodu 2021.gadā, tā</w:t>
      </w:r>
      <w:r w:rsidRPr="008E000C">
        <w:rPr>
          <w:rStyle w:val="Strong"/>
          <w:rFonts w:ascii="Times New Roman" w:hAnsi="Times New Roman" w:cs="Times New Roman"/>
          <w:bCs w:val="0"/>
          <w:color w:val="000000" w:themeColor="text1"/>
          <w:w w:val="100"/>
          <w:sz w:val="24"/>
          <w:szCs w:val="24"/>
          <w:shd w:val="clear" w:color="auto" w:fill="FFFFFF"/>
        </w:rPr>
        <w:t xml:space="preserve"> </w:t>
      </w:r>
      <w:r w:rsidRPr="008E000C">
        <w:rPr>
          <w:rFonts w:ascii="Times New Roman" w:eastAsia="Calibri" w:hAnsi="Times New Roman" w:cs="Times New Roman"/>
          <w:bCs/>
          <w:color w:val="000000" w:themeColor="text1"/>
          <w:w w:val="100"/>
          <w:sz w:val="24"/>
          <w:szCs w:val="24"/>
        </w:rPr>
        <w:t xml:space="preserve">palielinājās par 8,3% – pieaugot līdz </w:t>
      </w:r>
      <w:r w:rsidRPr="008E000C">
        <w:rPr>
          <w:rStyle w:val="Strong"/>
          <w:rFonts w:ascii="Times New Roman" w:hAnsi="Times New Roman" w:cs="Times New Roman"/>
          <w:b w:val="0"/>
          <w:color w:val="000000" w:themeColor="text1"/>
          <w:w w:val="100"/>
          <w:sz w:val="24"/>
          <w:szCs w:val="24"/>
          <w:shd w:val="clear" w:color="auto" w:fill="FFFFFF"/>
        </w:rPr>
        <w:t>1 362</w:t>
      </w:r>
      <w:r w:rsidRPr="008E000C">
        <w:rPr>
          <w:rStyle w:val="Strong"/>
          <w:rFonts w:ascii="Times New Roman" w:hAnsi="Times New Roman" w:cs="Times New Roman"/>
          <w:bCs w:val="0"/>
          <w:color w:val="000000" w:themeColor="text1"/>
          <w:w w:val="100"/>
          <w:sz w:val="24"/>
          <w:szCs w:val="24"/>
          <w:shd w:val="clear" w:color="auto" w:fill="FFFFFF"/>
        </w:rPr>
        <w:t> </w:t>
      </w:r>
      <w:r w:rsidRPr="008E000C">
        <w:rPr>
          <w:rFonts w:ascii="Times New Roman" w:eastAsia="Calibri" w:hAnsi="Times New Roman" w:cs="Times New Roman"/>
          <w:bCs/>
          <w:color w:val="000000" w:themeColor="text1"/>
          <w:w w:val="100"/>
          <w:sz w:val="24"/>
          <w:szCs w:val="24"/>
        </w:rPr>
        <w:t xml:space="preserve">eiro mēnesī. Jāatzīmē, ka nozīmīgs algu pieaugums Latvijā ir bijis vērojams jau iepriekšējos gados – vidējais algu pieaugums pēdējo 5 gadu laikā ir bijis tuvu 7% gadā. </w:t>
      </w:r>
      <w:r w:rsidRPr="008E000C">
        <w:rPr>
          <w:rFonts w:ascii="Times New Roman" w:hAnsi="Times New Roman" w:cs="Times New Roman"/>
          <w:bCs/>
          <w:color w:val="000000" w:themeColor="text1"/>
          <w:w w:val="100"/>
          <w:sz w:val="24"/>
          <w:szCs w:val="24"/>
          <w:shd w:val="clear" w:color="auto" w:fill="FFFFFF"/>
        </w:rPr>
        <w:t xml:space="preserve">Tomēr pretstatā iepriekšējos gados novērotā neto darba samaksa </w:t>
      </w:r>
      <w:r w:rsidRPr="008E000C">
        <w:rPr>
          <w:rFonts w:ascii="Times New Roman" w:hAnsi="Times New Roman" w:cs="Times New Roman"/>
          <w:bCs/>
          <w:color w:val="000000" w:themeColor="text1"/>
          <w:w w:val="100"/>
          <w:sz w:val="24"/>
          <w:szCs w:val="24"/>
        </w:rPr>
        <w:t xml:space="preserve">2022.gada </w:t>
      </w:r>
      <w:r w:rsidRPr="008E000C">
        <w:rPr>
          <w:rFonts w:ascii="Times New Roman" w:hAnsi="Times New Roman" w:cs="Times New Roman"/>
          <w:bCs/>
          <w:color w:val="000000" w:themeColor="text1"/>
          <w:w w:val="100"/>
          <w:sz w:val="24"/>
          <w:szCs w:val="24"/>
          <w:shd w:val="clear" w:color="auto" w:fill="FFFFFF"/>
        </w:rPr>
        <w:t>pirmajos divos ceturkšņos, ņemot vērā patēriņa cenu kāpumu, ir samazinājusies, kas liecina par algoto darbinieku pirktspējas krišanos.</w:t>
      </w:r>
      <w:r w:rsidRPr="008E000C">
        <w:rPr>
          <w:rFonts w:ascii="Times New Roman" w:eastAsia="Calibri" w:hAnsi="Times New Roman" w:cs="Times New Roman"/>
          <w:bCs/>
          <w:color w:val="000000" w:themeColor="text1"/>
          <w:w w:val="100"/>
          <w:sz w:val="24"/>
          <w:szCs w:val="24"/>
        </w:rPr>
        <w:t xml:space="preserve"> Sagaidāms, ka šāda tendence īstermiņā turpināsies, kamēr straujais inflācijas pieaugums nemazināsies. </w:t>
      </w:r>
    </w:p>
    <w:p w14:paraId="4E91E4F4" w14:textId="1AD1D53E" w:rsidR="006A35D0" w:rsidRPr="008E000C" w:rsidRDefault="006A35D0" w:rsidP="00B105FB">
      <w:pPr>
        <w:spacing w:after="0" w:line="276" w:lineRule="auto"/>
        <w:ind w:firstLine="720"/>
        <w:jc w:val="both"/>
        <w:rPr>
          <w:rFonts w:ascii="Times New Roman" w:eastAsia="Calibri" w:hAnsi="Times New Roman" w:cs="Times New Roman"/>
          <w:bCs/>
          <w:color w:val="000000" w:themeColor="text1"/>
          <w:w w:val="100"/>
          <w:sz w:val="24"/>
          <w:szCs w:val="24"/>
        </w:rPr>
      </w:pPr>
      <w:r w:rsidRPr="008E000C">
        <w:rPr>
          <w:rFonts w:ascii="Times New Roman" w:eastAsia="Calibri" w:hAnsi="Times New Roman" w:cs="Times New Roman"/>
          <w:bCs/>
          <w:color w:val="000000" w:themeColor="text1"/>
          <w:w w:val="100"/>
          <w:sz w:val="24"/>
          <w:szCs w:val="24"/>
        </w:rPr>
        <w:t>Vienlaikus pozitīvu spiedienu uz darba algām turpinās uzturēt gan algu konverģences process tuvāk ES ekonomiski attīstīto valstu algu līmenim, gan arvien pieaugošā kvalificēta darbaspēka nepietiekamība – darba tirgus sašaurināšanās, kas rada nepieciešamību uzņēmējiem aktīvāk domāt ne tikai kā piesaistīt jaunu speciālistus, bet ari kā noturēt esošos, t.sk. pārskatot darba atalgojuma likmes.</w:t>
      </w:r>
    </w:p>
    <w:p w14:paraId="4E094872" w14:textId="77777777" w:rsidR="006A35D0" w:rsidRPr="008E000C" w:rsidRDefault="006A35D0" w:rsidP="00B105FB">
      <w:pPr>
        <w:spacing w:after="0" w:line="276" w:lineRule="auto"/>
        <w:ind w:firstLine="720"/>
        <w:jc w:val="both"/>
        <w:rPr>
          <w:rFonts w:ascii="Times New Roman" w:hAnsi="Times New Roman" w:cs="Times New Roman"/>
          <w:bCs/>
          <w:color w:val="000000" w:themeColor="text1"/>
          <w:w w:val="100"/>
          <w:sz w:val="24"/>
          <w:szCs w:val="24"/>
        </w:rPr>
      </w:pPr>
      <w:r w:rsidRPr="008E000C">
        <w:rPr>
          <w:rFonts w:ascii="Times New Roman" w:hAnsi="Times New Roman" w:cs="Times New Roman"/>
          <w:bCs/>
          <w:color w:val="000000" w:themeColor="text1"/>
          <w:w w:val="100"/>
          <w:sz w:val="24"/>
          <w:szCs w:val="24"/>
        </w:rPr>
        <w:t>Ekonomikas tālākā attīstība vidēja termiņa periodā ir atkarīga no situācijas ārējā vidē un reformu gaitas. Lielākais Latvijas izaugsmes risks saistīts ar globālās ekonomikas attīstību, īpaši Covid-19 epidēmijas ekspansijas apturēšanu un ģeopolitisko situāciju. Tāpat svarīga ir ES kopējās ekonomikas telpas turpmākā attīstība. Latvijas ekonomiskās priekšrocības vidējā termiņā galvenokārt balstīsies uz panākto makroekonomisko stabilitāti, kā rezultātā ir uzlabojušies Latvijas kredītreitingi, kā arī uz plānoto ES atbalsta programmu efektivitāti un uzlabojumiem uzņēmējdarbības vidē.</w:t>
      </w:r>
    </w:p>
    <w:p w14:paraId="552D1527" w14:textId="7EEE7865" w:rsidR="006A35D0" w:rsidRPr="008E000C" w:rsidRDefault="006A35D0" w:rsidP="00B105FB">
      <w:pPr>
        <w:spacing w:after="0" w:line="276" w:lineRule="auto"/>
        <w:ind w:firstLine="720"/>
        <w:jc w:val="both"/>
        <w:rPr>
          <w:rFonts w:ascii="Times New Roman" w:hAnsi="Times New Roman" w:cs="Times New Roman"/>
          <w:bCs/>
          <w:color w:val="000000" w:themeColor="text1"/>
          <w:w w:val="100"/>
          <w:sz w:val="24"/>
          <w:szCs w:val="24"/>
        </w:rPr>
      </w:pPr>
      <w:r w:rsidRPr="008E000C">
        <w:rPr>
          <w:rFonts w:ascii="Times New Roman" w:hAnsi="Times New Roman" w:cs="Times New Roman"/>
          <w:bCs/>
          <w:color w:val="000000" w:themeColor="text1"/>
          <w:w w:val="100"/>
          <w:sz w:val="24"/>
          <w:szCs w:val="24"/>
        </w:rPr>
        <w:t xml:space="preserve">Latvijas ekonomikas konkurētspējas priekšrocības pamatā balstās uz tehnoloģiskiem faktoriem, ražošanas efektivitātes uzlabošanu un inovācijām, mazākā mērā uz </w:t>
      </w:r>
      <w:r w:rsidR="00327908">
        <w:rPr>
          <w:rFonts w:ascii="Times New Roman" w:hAnsi="Times New Roman" w:cs="Times New Roman"/>
          <w:bCs/>
          <w:color w:val="000000" w:themeColor="text1"/>
          <w:w w:val="100"/>
          <w:sz w:val="24"/>
          <w:szCs w:val="24"/>
        </w:rPr>
        <w:t>zemu izmaksu</w:t>
      </w:r>
      <w:r w:rsidR="00327908" w:rsidRPr="008E000C">
        <w:rPr>
          <w:rFonts w:ascii="Times New Roman" w:hAnsi="Times New Roman" w:cs="Times New Roman"/>
          <w:bCs/>
          <w:color w:val="000000" w:themeColor="text1"/>
          <w:w w:val="100"/>
          <w:sz w:val="24"/>
          <w:szCs w:val="24"/>
        </w:rPr>
        <w:t xml:space="preserve"> </w:t>
      </w:r>
      <w:r w:rsidRPr="008E000C">
        <w:rPr>
          <w:rFonts w:ascii="Times New Roman" w:hAnsi="Times New Roman" w:cs="Times New Roman"/>
          <w:bCs/>
          <w:color w:val="000000" w:themeColor="text1"/>
          <w:w w:val="100"/>
          <w:sz w:val="24"/>
          <w:szCs w:val="24"/>
        </w:rPr>
        <w:t>darbaspēku un zemām resursu cenām. Vidēja termiņa periodā Latvijas izaugsmes tempi var sasniegt 4-5% pieaugumu gadā. Ieilgstot karam Ukrainā un Covid-19 pandēmijai, ekonomikas atveseļošanās tempi varētu būt lēnāki.</w:t>
      </w:r>
    </w:p>
    <w:p w14:paraId="212D32BF" w14:textId="61A35529" w:rsidR="006A35D0" w:rsidRDefault="006A35D0" w:rsidP="008E000C">
      <w:pPr>
        <w:spacing w:after="0" w:line="276" w:lineRule="auto"/>
        <w:ind w:left="142" w:firstLine="720"/>
        <w:jc w:val="both"/>
        <w:rPr>
          <w:rFonts w:ascii="Times New Roman" w:hAnsi="Times New Roman" w:cs="Times New Roman"/>
          <w:bCs/>
          <w:color w:val="000000" w:themeColor="text1"/>
          <w:sz w:val="24"/>
          <w:szCs w:val="24"/>
        </w:rPr>
      </w:pPr>
    </w:p>
    <w:p w14:paraId="6E9F2B80" w14:textId="77777777" w:rsidR="00B105FB" w:rsidRPr="008E000C" w:rsidRDefault="00B105FB" w:rsidP="00B105FB">
      <w:pPr>
        <w:spacing w:after="0" w:line="276" w:lineRule="auto"/>
        <w:ind w:left="142" w:firstLine="720"/>
        <w:jc w:val="both"/>
        <w:rPr>
          <w:rFonts w:ascii="Times New Roman" w:hAnsi="Times New Roman" w:cs="Times New Roman"/>
          <w:color w:val="000000" w:themeColor="text1"/>
          <w:w w:val="100"/>
          <w:sz w:val="24"/>
          <w:szCs w:val="24"/>
        </w:rPr>
      </w:pPr>
    </w:p>
    <w:p w14:paraId="6B54AD55" w14:textId="77777777" w:rsidR="00B105FB" w:rsidRDefault="00B105FB" w:rsidP="00B105FB">
      <w:pPr>
        <w:spacing w:after="0"/>
        <w:ind w:firstLine="720"/>
        <w:jc w:val="center"/>
        <w:rPr>
          <w:rFonts w:ascii="Times New Roman" w:hAnsi="Times New Roman" w:cs="Times New Roman"/>
          <w:b/>
          <w:bCs/>
          <w:color w:val="000000" w:themeColor="text1"/>
          <w:w w:val="100"/>
          <w:sz w:val="24"/>
          <w:szCs w:val="24"/>
        </w:rPr>
      </w:pPr>
      <w:r w:rsidRPr="000C08B8">
        <w:rPr>
          <w:rFonts w:ascii="Times New Roman" w:hAnsi="Times New Roman" w:cs="Times New Roman"/>
          <w:b/>
          <w:bCs/>
          <w:color w:val="000000" w:themeColor="text1"/>
          <w:w w:val="100"/>
          <w:sz w:val="24"/>
          <w:szCs w:val="24"/>
        </w:rPr>
        <w:t>Makroekonomiskie rādītāji 2020. un 2021. gadā</w:t>
      </w:r>
    </w:p>
    <w:p w14:paraId="2A8A7C02" w14:textId="77777777" w:rsidR="00B105FB" w:rsidRDefault="00B105FB" w:rsidP="00B105FB">
      <w:pPr>
        <w:spacing w:after="0"/>
        <w:ind w:firstLine="720"/>
        <w:jc w:val="center"/>
        <w:rPr>
          <w:rFonts w:ascii="Times New Roman" w:hAnsi="Times New Roman" w:cs="Times New Roman"/>
          <w:b/>
          <w:bCs/>
          <w:color w:val="000000" w:themeColor="text1"/>
          <w:w w:val="100"/>
          <w:sz w:val="24"/>
          <w:szCs w:val="24"/>
        </w:rPr>
      </w:pPr>
      <w:r w:rsidRPr="000C08B8">
        <w:rPr>
          <w:rFonts w:ascii="Times New Roman" w:hAnsi="Times New Roman" w:cs="Times New Roman"/>
          <w:b/>
          <w:bCs/>
          <w:color w:val="000000" w:themeColor="text1"/>
          <w:w w:val="100"/>
          <w:sz w:val="24"/>
          <w:szCs w:val="24"/>
        </w:rPr>
        <w:t xml:space="preserve">un </w:t>
      </w:r>
      <w:r>
        <w:rPr>
          <w:rFonts w:ascii="Times New Roman" w:hAnsi="Times New Roman" w:cs="Times New Roman"/>
          <w:b/>
          <w:bCs/>
          <w:color w:val="000000" w:themeColor="text1"/>
          <w:w w:val="100"/>
          <w:sz w:val="24"/>
          <w:szCs w:val="24"/>
        </w:rPr>
        <w:t xml:space="preserve">Ekonomikas ministrijas (EM) un Finanšu ministrijas (FM) </w:t>
      </w:r>
    </w:p>
    <w:p w14:paraId="1DC42262" w14:textId="77777777" w:rsidR="00B105FB" w:rsidRDefault="00B105FB" w:rsidP="00B105FB">
      <w:pPr>
        <w:spacing w:after="0"/>
        <w:ind w:firstLine="720"/>
        <w:jc w:val="center"/>
        <w:rPr>
          <w:rFonts w:ascii="Times New Roman" w:hAnsi="Times New Roman" w:cs="Times New Roman"/>
          <w:b/>
          <w:bCs/>
          <w:color w:val="000000" w:themeColor="text1"/>
          <w:w w:val="100"/>
          <w:sz w:val="24"/>
          <w:szCs w:val="24"/>
        </w:rPr>
      </w:pPr>
      <w:r w:rsidRPr="000C08B8">
        <w:rPr>
          <w:rFonts w:ascii="Times New Roman" w:hAnsi="Times New Roman" w:cs="Times New Roman"/>
          <w:b/>
          <w:bCs/>
          <w:color w:val="000000" w:themeColor="text1"/>
          <w:w w:val="100"/>
          <w:sz w:val="24"/>
          <w:szCs w:val="24"/>
        </w:rPr>
        <w:t>makroekonomisko rādītāju prognozes 2022. un 2023. gadam</w:t>
      </w:r>
    </w:p>
    <w:p w14:paraId="0867D249" w14:textId="77777777" w:rsidR="00B105FB" w:rsidRPr="008E000C" w:rsidRDefault="00B105FB" w:rsidP="00B105FB">
      <w:pPr>
        <w:spacing w:after="0"/>
        <w:ind w:firstLine="720"/>
        <w:jc w:val="center"/>
        <w:rPr>
          <w:rFonts w:ascii="Times New Roman" w:hAnsi="Times New Roman" w:cs="Times New Roman"/>
          <w:b/>
          <w:bCs/>
          <w:color w:val="000000" w:themeColor="text1"/>
          <w:w w:val="100"/>
          <w:sz w:val="24"/>
          <w:szCs w:val="24"/>
        </w:rPr>
      </w:pPr>
    </w:p>
    <w:tbl>
      <w:tblPr>
        <w:tblW w:w="5000" w:type="pct"/>
        <w:jc w:val="center"/>
        <w:tblLayout w:type="fixed"/>
        <w:tblLook w:val="04A0" w:firstRow="1" w:lastRow="0" w:firstColumn="1" w:lastColumn="0" w:noHBand="0" w:noVBand="1"/>
      </w:tblPr>
      <w:tblGrid>
        <w:gridCol w:w="2772"/>
        <w:gridCol w:w="1075"/>
        <w:gridCol w:w="1075"/>
        <w:gridCol w:w="1075"/>
        <w:gridCol w:w="1075"/>
        <w:gridCol w:w="1075"/>
        <w:gridCol w:w="1071"/>
      </w:tblGrid>
      <w:tr w:rsidR="00B105FB" w:rsidRPr="008E000C" w14:paraId="1A66CD74" w14:textId="77777777" w:rsidTr="00980F75">
        <w:trPr>
          <w:trHeight w:val="330"/>
          <w:jc w:val="center"/>
        </w:trPr>
        <w:tc>
          <w:tcPr>
            <w:tcW w:w="2669" w:type="pct"/>
            <w:gridSpan w:val="3"/>
            <w:tcBorders>
              <w:bottom w:val="single" w:sz="18" w:space="0" w:color="auto"/>
              <w:right w:val="single" w:sz="18" w:space="0" w:color="auto"/>
            </w:tcBorders>
            <w:shd w:val="clear" w:color="auto" w:fill="FFFFFF" w:themeFill="background1"/>
            <w:vAlign w:val="center"/>
          </w:tcPr>
          <w:p w14:paraId="11FAF557" w14:textId="77777777" w:rsidR="00B105FB" w:rsidRPr="008E000C" w:rsidRDefault="00B105FB" w:rsidP="00980F75">
            <w:pPr>
              <w:spacing w:after="0"/>
              <w:jc w:val="center"/>
              <w:rPr>
                <w:rFonts w:ascii="Times New Roman" w:eastAsia="Times New Roman" w:hAnsi="Times New Roman" w:cs="Times New Roman"/>
                <w:b/>
                <w:bCs/>
                <w:color w:val="000000"/>
                <w:w w:val="100"/>
                <w:sz w:val="24"/>
                <w:szCs w:val="24"/>
                <w:lang w:eastAsia="lv-LV"/>
              </w:rPr>
            </w:pPr>
          </w:p>
        </w:tc>
        <w:tc>
          <w:tcPr>
            <w:tcW w:w="1166" w:type="pct"/>
            <w:gridSpan w:val="2"/>
            <w:tcBorders>
              <w:top w:val="single" w:sz="18" w:space="0" w:color="auto"/>
              <w:left w:val="single" w:sz="18" w:space="0" w:color="auto"/>
              <w:bottom w:val="single" w:sz="18" w:space="0" w:color="auto"/>
              <w:right w:val="single" w:sz="18" w:space="0" w:color="auto"/>
            </w:tcBorders>
            <w:shd w:val="clear" w:color="auto" w:fill="B4C6E7" w:themeFill="accent1" w:themeFillTint="66"/>
            <w:vAlign w:val="center"/>
          </w:tcPr>
          <w:p w14:paraId="63A2D4A2" w14:textId="77777777" w:rsidR="00B105FB" w:rsidRPr="008E000C" w:rsidRDefault="00B105FB" w:rsidP="00980F75">
            <w:pPr>
              <w:spacing w:after="0"/>
              <w:jc w:val="center"/>
              <w:rPr>
                <w:rFonts w:ascii="Times New Roman" w:eastAsia="Times New Roman" w:hAnsi="Times New Roman" w:cs="Times New Roman"/>
                <w:b/>
                <w:bCs/>
                <w:color w:val="000000"/>
                <w:w w:val="100"/>
                <w:sz w:val="24"/>
                <w:szCs w:val="24"/>
                <w:lang w:eastAsia="lv-LV"/>
              </w:rPr>
            </w:pPr>
            <w:r>
              <w:rPr>
                <w:rFonts w:ascii="Times New Roman" w:eastAsia="Times New Roman" w:hAnsi="Times New Roman" w:cs="Times New Roman"/>
                <w:b/>
                <w:bCs/>
                <w:color w:val="000000"/>
                <w:w w:val="100"/>
                <w:sz w:val="24"/>
                <w:szCs w:val="24"/>
                <w:lang w:eastAsia="lv-LV"/>
              </w:rPr>
              <w:t>EM prognoze</w:t>
            </w:r>
          </w:p>
        </w:tc>
        <w:tc>
          <w:tcPr>
            <w:tcW w:w="1165" w:type="pct"/>
            <w:gridSpan w:val="2"/>
            <w:tcBorders>
              <w:top w:val="single" w:sz="18" w:space="0" w:color="auto"/>
              <w:left w:val="single" w:sz="18" w:space="0" w:color="auto"/>
              <w:bottom w:val="single" w:sz="18" w:space="0" w:color="auto"/>
              <w:right w:val="single" w:sz="18" w:space="0" w:color="auto"/>
            </w:tcBorders>
            <w:shd w:val="clear" w:color="auto" w:fill="B4C6E7" w:themeFill="accent1" w:themeFillTint="66"/>
          </w:tcPr>
          <w:p w14:paraId="78C4365F" w14:textId="77777777" w:rsidR="00B105FB" w:rsidRPr="008E000C" w:rsidRDefault="00B105FB" w:rsidP="00980F75">
            <w:pPr>
              <w:spacing w:after="0"/>
              <w:jc w:val="center"/>
              <w:rPr>
                <w:rFonts w:ascii="Times New Roman" w:eastAsia="Times New Roman" w:hAnsi="Times New Roman" w:cs="Times New Roman"/>
                <w:b/>
                <w:bCs/>
                <w:color w:val="000000"/>
                <w:w w:val="100"/>
                <w:sz w:val="24"/>
                <w:szCs w:val="24"/>
                <w:lang w:eastAsia="lv-LV"/>
              </w:rPr>
            </w:pPr>
            <w:r>
              <w:rPr>
                <w:rFonts w:ascii="Times New Roman" w:eastAsia="Times New Roman" w:hAnsi="Times New Roman" w:cs="Times New Roman"/>
                <w:b/>
                <w:bCs/>
                <w:color w:val="000000"/>
                <w:w w:val="100"/>
                <w:sz w:val="24"/>
                <w:szCs w:val="24"/>
                <w:lang w:eastAsia="lv-LV"/>
              </w:rPr>
              <w:t>FM prognoze</w:t>
            </w:r>
          </w:p>
        </w:tc>
      </w:tr>
      <w:tr w:rsidR="00B105FB" w:rsidRPr="008E000C" w14:paraId="4718E535" w14:textId="77777777" w:rsidTr="00980F75">
        <w:trPr>
          <w:trHeight w:val="330"/>
          <w:jc w:val="center"/>
        </w:trPr>
        <w:tc>
          <w:tcPr>
            <w:tcW w:w="1504" w:type="pct"/>
            <w:tcBorders>
              <w:top w:val="single" w:sz="18" w:space="0" w:color="auto"/>
              <w:left w:val="single" w:sz="18" w:space="0" w:color="auto"/>
              <w:bottom w:val="single" w:sz="12" w:space="0" w:color="auto"/>
              <w:right w:val="single" w:sz="8" w:space="0" w:color="auto"/>
            </w:tcBorders>
            <w:shd w:val="clear" w:color="auto" w:fill="D9E2F3" w:themeFill="accent1" w:themeFillTint="33"/>
            <w:vAlign w:val="center"/>
            <w:hideMark/>
          </w:tcPr>
          <w:p w14:paraId="74E4A731" w14:textId="77777777" w:rsidR="00B105FB" w:rsidRPr="008E000C" w:rsidRDefault="00B105FB" w:rsidP="00980F75">
            <w:pPr>
              <w:spacing w:after="0" w:line="276" w:lineRule="auto"/>
              <w:ind w:firstLine="720"/>
              <w:jc w:val="both"/>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 </w:t>
            </w:r>
          </w:p>
        </w:tc>
        <w:tc>
          <w:tcPr>
            <w:tcW w:w="583" w:type="pct"/>
            <w:tcBorders>
              <w:top w:val="single" w:sz="18" w:space="0" w:color="auto"/>
              <w:left w:val="nil"/>
              <w:bottom w:val="single" w:sz="12" w:space="0" w:color="auto"/>
              <w:right w:val="single" w:sz="8" w:space="0" w:color="auto"/>
            </w:tcBorders>
            <w:shd w:val="clear" w:color="auto" w:fill="D9E2F3" w:themeFill="accent1" w:themeFillTint="33"/>
            <w:vAlign w:val="center"/>
            <w:hideMark/>
          </w:tcPr>
          <w:p w14:paraId="02EEEAA8" w14:textId="77777777" w:rsidR="00B105FB" w:rsidRPr="008E000C" w:rsidRDefault="00B105FB" w:rsidP="00980F75">
            <w:pPr>
              <w:spacing w:after="0"/>
              <w:jc w:val="center"/>
              <w:rPr>
                <w:rFonts w:ascii="Times New Roman" w:eastAsia="Times New Roman" w:hAnsi="Times New Roman" w:cs="Times New Roman"/>
                <w:b/>
                <w:bCs/>
                <w:color w:val="000000"/>
                <w:w w:val="100"/>
                <w:sz w:val="24"/>
                <w:szCs w:val="24"/>
                <w:lang w:eastAsia="lv-LV"/>
              </w:rPr>
            </w:pPr>
            <w:r w:rsidRPr="008E000C">
              <w:rPr>
                <w:rFonts w:ascii="Times New Roman" w:eastAsia="Times New Roman" w:hAnsi="Times New Roman" w:cs="Times New Roman"/>
                <w:b/>
                <w:bCs/>
                <w:color w:val="000000"/>
                <w:w w:val="100"/>
                <w:sz w:val="24"/>
                <w:szCs w:val="24"/>
                <w:lang w:eastAsia="lv-LV"/>
              </w:rPr>
              <w:t>2020</w:t>
            </w:r>
          </w:p>
        </w:tc>
        <w:tc>
          <w:tcPr>
            <w:tcW w:w="583" w:type="pct"/>
            <w:tcBorders>
              <w:top w:val="single" w:sz="18" w:space="0" w:color="auto"/>
              <w:left w:val="nil"/>
              <w:bottom w:val="single" w:sz="12" w:space="0" w:color="auto"/>
              <w:right w:val="single" w:sz="18" w:space="0" w:color="auto"/>
            </w:tcBorders>
            <w:shd w:val="clear" w:color="auto" w:fill="D9E2F3" w:themeFill="accent1" w:themeFillTint="33"/>
            <w:vAlign w:val="center"/>
            <w:hideMark/>
          </w:tcPr>
          <w:p w14:paraId="22ACD938" w14:textId="77777777" w:rsidR="00B105FB" w:rsidRPr="008E000C" w:rsidRDefault="00B105FB" w:rsidP="00980F75">
            <w:pPr>
              <w:spacing w:after="0"/>
              <w:jc w:val="center"/>
              <w:rPr>
                <w:rFonts w:ascii="Times New Roman" w:eastAsia="Times New Roman" w:hAnsi="Times New Roman" w:cs="Times New Roman"/>
                <w:b/>
                <w:bCs/>
                <w:color w:val="000000"/>
                <w:w w:val="100"/>
                <w:sz w:val="24"/>
                <w:szCs w:val="24"/>
                <w:lang w:eastAsia="lv-LV"/>
              </w:rPr>
            </w:pPr>
            <w:r w:rsidRPr="008E000C">
              <w:rPr>
                <w:rFonts w:ascii="Times New Roman" w:eastAsia="Times New Roman" w:hAnsi="Times New Roman" w:cs="Times New Roman"/>
                <w:b/>
                <w:bCs/>
                <w:color w:val="000000"/>
                <w:w w:val="100"/>
                <w:sz w:val="24"/>
                <w:szCs w:val="24"/>
                <w:lang w:eastAsia="lv-LV"/>
              </w:rPr>
              <w:t>2021</w:t>
            </w:r>
          </w:p>
        </w:tc>
        <w:tc>
          <w:tcPr>
            <w:tcW w:w="583" w:type="pct"/>
            <w:tcBorders>
              <w:top w:val="single" w:sz="18" w:space="0" w:color="auto"/>
              <w:left w:val="single" w:sz="18" w:space="0" w:color="auto"/>
              <w:bottom w:val="single" w:sz="12" w:space="0" w:color="auto"/>
              <w:right w:val="single" w:sz="8" w:space="0" w:color="auto"/>
            </w:tcBorders>
            <w:shd w:val="clear" w:color="auto" w:fill="D9E2F3" w:themeFill="accent1" w:themeFillTint="33"/>
            <w:vAlign w:val="center"/>
            <w:hideMark/>
          </w:tcPr>
          <w:p w14:paraId="5C15F6F0" w14:textId="77777777" w:rsidR="00B105FB" w:rsidRPr="008E000C" w:rsidRDefault="00B105FB" w:rsidP="00980F75">
            <w:pPr>
              <w:spacing w:after="0"/>
              <w:jc w:val="center"/>
              <w:rPr>
                <w:rFonts w:ascii="Times New Roman" w:eastAsia="Times New Roman" w:hAnsi="Times New Roman" w:cs="Times New Roman"/>
                <w:b/>
                <w:bCs/>
                <w:color w:val="000000"/>
                <w:w w:val="100"/>
                <w:sz w:val="24"/>
                <w:szCs w:val="24"/>
                <w:lang w:eastAsia="lv-LV"/>
              </w:rPr>
            </w:pPr>
            <w:r w:rsidRPr="008E000C">
              <w:rPr>
                <w:rFonts w:ascii="Times New Roman" w:eastAsia="Times New Roman" w:hAnsi="Times New Roman" w:cs="Times New Roman"/>
                <w:b/>
                <w:bCs/>
                <w:color w:val="000000"/>
                <w:w w:val="100"/>
                <w:sz w:val="24"/>
                <w:szCs w:val="24"/>
                <w:lang w:eastAsia="lv-LV"/>
              </w:rPr>
              <w:t>2022p</w:t>
            </w:r>
          </w:p>
        </w:tc>
        <w:tc>
          <w:tcPr>
            <w:tcW w:w="583" w:type="pct"/>
            <w:tcBorders>
              <w:top w:val="single" w:sz="18" w:space="0" w:color="auto"/>
              <w:left w:val="single" w:sz="8" w:space="0" w:color="auto"/>
              <w:bottom w:val="single" w:sz="12" w:space="0" w:color="auto"/>
              <w:right w:val="single" w:sz="18" w:space="0" w:color="auto"/>
            </w:tcBorders>
            <w:shd w:val="clear" w:color="auto" w:fill="D9E2F3" w:themeFill="accent1" w:themeFillTint="33"/>
            <w:vAlign w:val="center"/>
            <w:hideMark/>
          </w:tcPr>
          <w:p w14:paraId="51AF2B81" w14:textId="77777777" w:rsidR="00B105FB" w:rsidRPr="008E000C" w:rsidRDefault="00B105FB" w:rsidP="00980F75">
            <w:pPr>
              <w:spacing w:after="0"/>
              <w:jc w:val="center"/>
              <w:rPr>
                <w:rFonts w:ascii="Times New Roman" w:eastAsia="Times New Roman" w:hAnsi="Times New Roman" w:cs="Times New Roman"/>
                <w:b/>
                <w:bCs/>
                <w:color w:val="000000"/>
                <w:w w:val="100"/>
                <w:sz w:val="24"/>
                <w:szCs w:val="24"/>
                <w:lang w:eastAsia="lv-LV"/>
              </w:rPr>
            </w:pPr>
            <w:r w:rsidRPr="008E000C">
              <w:rPr>
                <w:rFonts w:ascii="Times New Roman" w:eastAsia="Times New Roman" w:hAnsi="Times New Roman" w:cs="Times New Roman"/>
                <w:b/>
                <w:bCs/>
                <w:color w:val="000000"/>
                <w:w w:val="100"/>
                <w:sz w:val="24"/>
                <w:szCs w:val="24"/>
                <w:lang w:eastAsia="lv-LV"/>
              </w:rPr>
              <w:t>2023p</w:t>
            </w:r>
          </w:p>
        </w:tc>
        <w:tc>
          <w:tcPr>
            <w:tcW w:w="583" w:type="pct"/>
            <w:tcBorders>
              <w:top w:val="single" w:sz="18" w:space="0" w:color="auto"/>
              <w:left w:val="single" w:sz="18" w:space="0" w:color="auto"/>
              <w:bottom w:val="single" w:sz="12" w:space="0" w:color="auto"/>
              <w:right w:val="single" w:sz="8" w:space="0" w:color="auto"/>
            </w:tcBorders>
            <w:shd w:val="clear" w:color="auto" w:fill="D9E2F3" w:themeFill="accent1" w:themeFillTint="33"/>
            <w:vAlign w:val="center"/>
          </w:tcPr>
          <w:p w14:paraId="4824D74B" w14:textId="77777777" w:rsidR="00B105FB" w:rsidRPr="008E000C" w:rsidRDefault="00B105FB" w:rsidP="00980F75">
            <w:pPr>
              <w:spacing w:after="0"/>
              <w:jc w:val="center"/>
              <w:rPr>
                <w:rFonts w:ascii="Times New Roman" w:eastAsia="Times New Roman" w:hAnsi="Times New Roman" w:cs="Times New Roman"/>
                <w:b/>
                <w:bCs/>
                <w:color w:val="000000"/>
                <w:w w:val="100"/>
                <w:sz w:val="24"/>
                <w:szCs w:val="24"/>
                <w:lang w:eastAsia="lv-LV"/>
              </w:rPr>
            </w:pPr>
            <w:r w:rsidRPr="008E000C">
              <w:rPr>
                <w:rFonts w:ascii="Times New Roman" w:eastAsia="Times New Roman" w:hAnsi="Times New Roman" w:cs="Times New Roman"/>
                <w:b/>
                <w:bCs/>
                <w:color w:val="000000"/>
                <w:w w:val="100"/>
                <w:sz w:val="24"/>
                <w:szCs w:val="24"/>
                <w:lang w:eastAsia="lv-LV"/>
              </w:rPr>
              <w:t>2022p</w:t>
            </w:r>
          </w:p>
        </w:tc>
        <w:tc>
          <w:tcPr>
            <w:tcW w:w="582" w:type="pct"/>
            <w:tcBorders>
              <w:top w:val="single" w:sz="18" w:space="0" w:color="auto"/>
              <w:left w:val="single" w:sz="8" w:space="0" w:color="auto"/>
              <w:bottom w:val="single" w:sz="12" w:space="0" w:color="auto"/>
              <w:right w:val="single" w:sz="18" w:space="0" w:color="auto"/>
            </w:tcBorders>
            <w:shd w:val="clear" w:color="auto" w:fill="D9E2F3" w:themeFill="accent1" w:themeFillTint="33"/>
            <w:vAlign w:val="center"/>
          </w:tcPr>
          <w:p w14:paraId="48643382" w14:textId="77777777" w:rsidR="00B105FB" w:rsidRPr="008E000C" w:rsidRDefault="00B105FB" w:rsidP="00980F75">
            <w:pPr>
              <w:spacing w:after="0"/>
              <w:jc w:val="center"/>
              <w:rPr>
                <w:rFonts w:ascii="Times New Roman" w:eastAsia="Times New Roman" w:hAnsi="Times New Roman" w:cs="Times New Roman"/>
                <w:b/>
                <w:bCs/>
                <w:color w:val="000000"/>
                <w:w w:val="100"/>
                <w:sz w:val="24"/>
                <w:szCs w:val="24"/>
                <w:lang w:eastAsia="lv-LV"/>
              </w:rPr>
            </w:pPr>
            <w:r w:rsidRPr="008E000C">
              <w:rPr>
                <w:rFonts w:ascii="Times New Roman" w:eastAsia="Times New Roman" w:hAnsi="Times New Roman" w:cs="Times New Roman"/>
                <w:b/>
                <w:bCs/>
                <w:color w:val="000000"/>
                <w:w w:val="100"/>
                <w:sz w:val="24"/>
                <w:szCs w:val="24"/>
                <w:lang w:eastAsia="lv-LV"/>
              </w:rPr>
              <w:t>2023p</w:t>
            </w:r>
          </w:p>
        </w:tc>
      </w:tr>
      <w:tr w:rsidR="00B105FB" w:rsidRPr="008E000C" w14:paraId="4B8A0673" w14:textId="77777777" w:rsidTr="00980F75">
        <w:trPr>
          <w:trHeight w:val="330"/>
          <w:jc w:val="center"/>
        </w:trPr>
        <w:tc>
          <w:tcPr>
            <w:tcW w:w="1504" w:type="pct"/>
            <w:tcBorders>
              <w:top w:val="single" w:sz="12" w:space="0" w:color="auto"/>
              <w:left w:val="single" w:sz="18" w:space="0" w:color="auto"/>
              <w:bottom w:val="single" w:sz="8" w:space="0" w:color="auto"/>
              <w:right w:val="single" w:sz="8" w:space="0" w:color="auto"/>
            </w:tcBorders>
            <w:shd w:val="clear" w:color="auto" w:fill="auto"/>
            <w:noWrap/>
            <w:vAlign w:val="center"/>
            <w:hideMark/>
          </w:tcPr>
          <w:p w14:paraId="211DFA12" w14:textId="77777777" w:rsidR="00B105FB" w:rsidRPr="008E000C" w:rsidRDefault="00B105FB" w:rsidP="00980F75">
            <w:pPr>
              <w:spacing w:after="0"/>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 xml:space="preserve">Iekšzemes kopprodukts (IKP) (salīdzināmās cenās, milj. </w:t>
            </w:r>
            <w:proofErr w:type="spellStart"/>
            <w:r w:rsidRPr="008E000C">
              <w:rPr>
                <w:rFonts w:ascii="Times New Roman" w:eastAsia="Times New Roman" w:hAnsi="Times New Roman" w:cs="Times New Roman"/>
                <w:i/>
                <w:iCs/>
                <w:color w:val="000000"/>
                <w:w w:val="100"/>
                <w:sz w:val="24"/>
                <w:szCs w:val="24"/>
                <w:lang w:eastAsia="lv-LV"/>
              </w:rPr>
              <w:t>euro</w:t>
            </w:r>
            <w:proofErr w:type="spellEnd"/>
            <w:r w:rsidRPr="008E000C">
              <w:rPr>
                <w:rFonts w:ascii="Times New Roman" w:eastAsia="Times New Roman" w:hAnsi="Times New Roman" w:cs="Times New Roman"/>
                <w:color w:val="000000"/>
                <w:w w:val="100"/>
                <w:sz w:val="24"/>
                <w:szCs w:val="24"/>
                <w:lang w:eastAsia="lv-LV"/>
              </w:rPr>
              <w:t>)</w:t>
            </w:r>
            <w:r>
              <w:rPr>
                <w:rFonts w:ascii="Times New Roman" w:eastAsia="Times New Roman" w:hAnsi="Times New Roman" w:cs="Times New Roman"/>
                <w:color w:val="000000"/>
                <w:w w:val="100"/>
                <w:sz w:val="24"/>
                <w:szCs w:val="24"/>
                <w:lang w:eastAsia="lv-LV"/>
              </w:rPr>
              <w:t>*</w:t>
            </w:r>
          </w:p>
        </w:tc>
        <w:tc>
          <w:tcPr>
            <w:tcW w:w="583" w:type="pct"/>
            <w:tcBorders>
              <w:top w:val="single" w:sz="12" w:space="0" w:color="auto"/>
              <w:left w:val="nil"/>
              <w:bottom w:val="single" w:sz="8" w:space="0" w:color="auto"/>
              <w:right w:val="single" w:sz="8" w:space="0" w:color="auto"/>
            </w:tcBorders>
            <w:shd w:val="clear" w:color="auto" w:fill="auto"/>
            <w:vAlign w:val="center"/>
            <w:hideMark/>
          </w:tcPr>
          <w:p w14:paraId="160F59E3"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27 109</w:t>
            </w:r>
          </w:p>
        </w:tc>
        <w:tc>
          <w:tcPr>
            <w:tcW w:w="583" w:type="pct"/>
            <w:tcBorders>
              <w:top w:val="single" w:sz="12" w:space="0" w:color="auto"/>
              <w:left w:val="nil"/>
              <w:bottom w:val="single" w:sz="8" w:space="0" w:color="auto"/>
              <w:right w:val="single" w:sz="18" w:space="0" w:color="auto"/>
            </w:tcBorders>
            <w:shd w:val="clear" w:color="auto" w:fill="auto"/>
            <w:vAlign w:val="center"/>
            <w:hideMark/>
          </w:tcPr>
          <w:p w14:paraId="65F808AB"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28 211</w:t>
            </w:r>
          </w:p>
        </w:tc>
        <w:tc>
          <w:tcPr>
            <w:tcW w:w="583" w:type="pct"/>
            <w:tcBorders>
              <w:top w:val="single" w:sz="12" w:space="0" w:color="auto"/>
              <w:left w:val="single" w:sz="18" w:space="0" w:color="auto"/>
              <w:bottom w:val="single" w:sz="8" w:space="0" w:color="auto"/>
              <w:right w:val="single" w:sz="8" w:space="0" w:color="auto"/>
            </w:tcBorders>
            <w:shd w:val="clear" w:color="auto" w:fill="auto"/>
            <w:vAlign w:val="center"/>
            <w:hideMark/>
          </w:tcPr>
          <w:p w14:paraId="77717297"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28 951</w:t>
            </w:r>
          </w:p>
        </w:tc>
        <w:tc>
          <w:tcPr>
            <w:tcW w:w="583" w:type="pct"/>
            <w:tcBorders>
              <w:top w:val="single" w:sz="12" w:space="0" w:color="auto"/>
              <w:left w:val="single" w:sz="8" w:space="0" w:color="auto"/>
              <w:bottom w:val="single" w:sz="8" w:space="0" w:color="auto"/>
              <w:right w:val="single" w:sz="18" w:space="0" w:color="auto"/>
            </w:tcBorders>
            <w:shd w:val="clear" w:color="auto" w:fill="auto"/>
            <w:vAlign w:val="center"/>
            <w:hideMark/>
          </w:tcPr>
          <w:p w14:paraId="56460F54"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29 125</w:t>
            </w:r>
          </w:p>
        </w:tc>
        <w:tc>
          <w:tcPr>
            <w:tcW w:w="583" w:type="pct"/>
            <w:tcBorders>
              <w:top w:val="single" w:sz="12" w:space="0" w:color="auto"/>
              <w:left w:val="single" w:sz="18" w:space="0" w:color="auto"/>
              <w:bottom w:val="single" w:sz="8" w:space="0" w:color="auto"/>
              <w:right w:val="single" w:sz="8" w:space="0" w:color="auto"/>
            </w:tcBorders>
            <w:vAlign w:val="center"/>
          </w:tcPr>
          <w:p w14:paraId="58C6E8C0"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0C08B8">
              <w:rPr>
                <w:rFonts w:ascii="Times New Roman" w:hAnsi="Times New Roman" w:cs="Times New Roman"/>
                <w:color w:val="000000" w:themeColor="text1"/>
                <w:w w:val="100"/>
                <w:sz w:val="24"/>
                <w:szCs w:val="24"/>
              </w:rPr>
              <w:t>29010</w:t>
            </w:r>
          </w:p>
        </w:tc>
        <w:tc>
          <w:tcPr>
            <w:tcW w:w="582" w:type="pct"/>
            <w:tcBorders>
              <w:top w:val="single" w:sz="12" w:space="0" w:color="auto"/>
              <w:left w:val="single" w:sz="8" w:space="0" w:color="auto"/>
              <w:bottom w:val="single" w:sz="8" w:space="0" w:color="auto"/>
              <w:right w:val="single" w:sz="18" w:space="0" w:color="auto"/>
            </w:tcBorders>
            <w:vAlign w:val="center"/>
          </w:tcPr>
          <w:p w14:paraId="61DBE26B"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0C08B8">
              <w:rPr>
                <w:rFonts w:ascii="Times New Roman" w:hAnsi="Times New Roman" w:cs="Times New Roman"/>
                <w:color w:val="000000" w:themeColor="text1"/>
                <w:w w:val="100"/>
                <w:sz w:val="24"/>
                <w:szCs w:val="24"/>
              </w:rPr>
              <w:t>29303</w:t>
            </w:r>
          </w:p>
        </w:tc>
      </w:tr>
      <w:tr w:rsidR="00B105FB" w:rsidRPr="008E000C" w14:paraId="217EF4C1" w14:textId="77777777" w:rsidTr="00980F75">
        <w:trPr>
          <w:trHeight w:val="330"/>
          <w:jc w:val="center"/>
        </w:trPr>
        <w:tc>
          <w:tcPr>
            <w:tcW w:w="1504" w:type="pct"/>
            <w:tcBorders>
              <w:top w:val="single" w:sz="8" w:space="0" w:color="auto"/>
              <w:left w:val="single" w:sz="18" w:space="0" w:color="auto"/>
              <w:bottom w:val="single" w:sz="8" w:space="0" w:color="auto"/>
              <w:right w:val="single" w:sz="8" w:space="0" w:color="auto"/>
            </w:tcBorders>
            <w:shd w:val="clear" w:color="auto" w:fill="auto"/>
            <w:noWrap/>
            <w:vAlign w:val="center"/>
            <w:hideMark/>
          </w:tcPr>
          <w:p w14:paraId="092652FB" w14:textId="77777777" w:rsidR="00B105FB" w:rsidRPr="008E000C" w:rsidRDefault="00B105FB" w:rsidP="00980F75">
            <w:pPr>
              <w:spacing w:after="0"/>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 xml:space="preserve">IKP (faktiskajās cenās, milj. </w:t>
            </w:r>
            <w:proofErr w:type="spellStart"/>
            <w:r w:rsidRPr="008E000C">
              <w:rPr>
                <w:rFonts w:ascii="Times New Roman" w:eastAsia="Times New Roman" w:hAnsi="Times New Roman" w:cs="Times New Roman"/>
                <w:i/>
                <w:iCs/>
                <w:color w:val="000000"/>
                <w:w w:val="100"/>
                <w:sz w:val="24"/>
                <w:szCs w:val="24"/>
                <w:lang w:eastAsia="lv-LV"/>
              </w:rPr>
              <w:t>euro</w:t>
            </w:r>
            <w:proofErr w:type="spellEnd"/>
            <w:r w:rsidRPr="008E000C">
              <w:rPr>
                <w:rFonts w:ascii="Times New Roman" w:eastAsia="Times New Roman" w:hAnsi="Times New Roman" w:cs="Times New Roman"/>
                <w:color w:val="000000"/>
                <w:w w:val="100"/>
                <w:sz w:val="24"/>
                <w:szCs w:val="24"/>
                <w:lang w:eastAsia="lv-LV"/>
              </w:rPr>
              <w:t>)</w:t>
            </w:r>
            <w:r>
              <w:rPr>
                <w:rFonts w:ascii="Times New Roman" w:eastAsia="Times New Roman" w:hAnsi="Times New Roman" w:cs="Times New Roman"/>
                <w:color w:val="000000"/>
                <w:w w:val="100"/>
                <w:sz w:val="24"/>
                <w:szCs w:val="24"/>
                <w:lang w:eastAsia="lv-LV"/>
              </w:rPr>
              <w:t>*</w:t>
            </w:r>
          </w:p>
        </w:tc>
        <w:tc>
          <w:tcPr>
            <w:tcW w:w="583" w:type="pct"/>
            <w:tcBorders>
              <w:top w:val="single" w:sz="8" w:space="0" w:color="auto"/>
              <w:left w:val="nil"/>
              <w:bottom w:val="single" w:sz="8" w:space="0" w:color="auto"/>
              <w:right w:val="single" w:sz="8" w:space="0" w:color="auto"/>
            </w:tcBorders>
            <w:shd w:val="clear" w:color="auto" w:fill="auto"/>
            <w:vAlign w:val="center"/>
            <w:hideMark/>
          </w:tcPr>
          <w:p w14:paraId="1E4A1B90"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30 294</w:t>
            </w:r>
          </w:p>
        </w:tc>
        <w:tc>
          <w:tcPr>
            <w:tcW w:w="583" w:type="pct"/>
            <w:tcBorders>
              <w:top w:val="single" w:sz="8" w:space="0" w:color="auto"/>
              <w:left w:val="nil"/>
              <w:bottom w:val="single" w:sz="8" w:space="0" w:color="auto"/>
              <w:right w:val="single" w:sz="18" w:space="0" w:color="auto"/>
            </w:tcBorders>
            <w:shd w:val="clear" w:color="auto" w:fill="auto"/>
            <w:vAlign w:val="center"/>
            <w:hideMark/>
          </w:tcPr>
          <w:p w14:paraId="1C101584"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33 696</w:t>
            </w:r>
          </w:p>
        </w:tc>
        <w:tc>
          <w:tcPr>
            <w:tcW w:w="583" w:type="pct"/>
            <w:tcBorders>
              <w:top w:val="single" w:sz="8" w:space="0" w:color="auto"/>
              <w:left w:val="single" w:sz="18" w:space="0" w:color="auto"/>
              <w:bottom w:val="single" w:sz="8" w:space="0" w:color="auto"/>
              <w:right w:val="single" w:sz="8" w:space="0" w:color="auto"/>
            </w:tcBorders>
            <w:shd w:val="clear" w:color="auto" w:fill="auto"/>
            <w:vAlign w:val="center"/>
            <w:hideMark/>
          </w:tcPr>
          <w:p w14:paraId="30163741"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39 420</w:t>
            </w:r>
          </w:p>
        </w:tc>
        <w:tc>
          <w:tcPr>
            <w:tcW w:w="583" w:type="pct"/>
            <w:tcBorders>
              <w:top w:val="single" w:sz="8" w:space="0" w:color="auto"/>
              <w:left w:val="single" w:sz="8" w:space="0" w:color="auto"/>
              <w:bottom w:val="single" w:sz="8" w:space="0" w:color="auto"/>
              <w:right w:val="single" w:sz="18" w:space="0" w:color="auto"/>
            </w:tcBorders>
            <w:shd w:val="clear" w:color="auto" w:fill="auto"/>
            <w:vAlign w:val="center"/>
            <w:hideMark/>
          </w:tcPr>
          <w:p w14:paraId="5F528B55"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42 116</w:t>
            </w:r>
          </w:p>
        </w:tc>
        <w:tc>
          <w:tcPr>
            <w:tcW w:w="583" w:type="pct"/>
            <w:tcBorders>
              <w:top w:val="single" w:sz="8" w:space="0" w:color="auto"/>
              <w:left w:val="single" w:sz="18" w:space="0" w:color="auto"/>
              <w:bottom w:val="single" w:sz="8" w:space="0" w:color="auto"/>
              <w:right w:val="single" w:sz="8" w:space="0" w:color="auto"/>
            </w:tcBorders>
            <w:vAlign w:val="center"/>
          </w:tcPr>
          <w:p w14:paraId="7CB82A18"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0C08B8">
              <w:rPr>
                <w:rFonts w:ascii="Times New Roman" w:hAnsi="Times New Roman" w:cs="Times New Roman"/>
                <w:color w:val="000000" w:themeColor="text1"/>
                <w:w w:val="100"/>
                <w:sz w:val="24"/>
                <w:szCs w:val="24"/>
              </w:rPr>
              <w:t>39331</w:t>
            </w:r>
          </w:p>
        </w:tc>
        <w:tc>
          <w:tcPr>
            <w:tcW w:w="582" w:type="pct"/>
            <w:tcBorders>
              <w:top w:val="single" w:sz="8" w:space="0" w:color="auto"/>
              <w:left w:val="single" w:sz="8" w:space="0" w:color="auto"/>
              <w:bottom w:val="single" w:sz="8" w:space="0" w:color="auto"/>
              <w:right w:val="single" w:sz="18" w:space="0" w:color="auto"/>
            </w:tcBorders>
            <w:vAlign w:val="center"/>
          </w:tcPr>
          <w:p w14:paraId="4033E257"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0C08B8">
              <w:rPr>
                <w:rFonts w:ascii="Times New Roman" w:hAnsi="Times New Roman" w:cs="Times New Roman"/>
                <w:color w:val="000000" w:themeColor="text1"/>
                <w:w w:val="100"/>
                <w:sz w:val="24"/>
                <w:szCs w:val="24"/>
              </w:rPr>
              <w:t>42375</w:t>
            </w:r>
          </w:p>
        </w:tc>
      </w:tr>
      <w:tr w:rsidR="00B105FB" w:rsidRPr="008E000C" w14:paraId="089688C7" w14:textId="77777777" w:rsidTr="00980F75">
        <w:trPr>
          <w:trHeight w:val="330"/>
          <w:jc w:val="center"/>
        </w:trPr>
        <w:tc>
          <w:tcPr>
            <w:tcW w:w="1504" w:type="pct"/>
            <w:tcBorders>
              <w:top w:val="single" w:sz="8" w:space="0" w:color="auto"/>
              <w:left w:val="single" w:sz="18" w:space="0" w:color="auto"/>
              <w:bottom w:val="single" w:sz="8" w:space="0" w:color="auto"/>
              <w:right w:val="single" w:sz="8" w:space="0" w:color="auto"/>
            </w:tcBorders>
            <w:shd w:val="clear" w:color="auto" w:fill="auto"/>
            <w:noWrap/>
            <w:vAlign w:val="center"/>
            <w:hideMark/>
          </w:tcPr>
          <w:p w14:paraId="1E805F17" w14:textId="77777777" w:rsidR="00B105FB" w:rsidRPr="008E000C" w:rsidRDefault="00B105FB" w:rsidP="00980F75">
            <w:pPr>
              <w:spacing w:after="0"/>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IKP pieaugums (salīdzināmās cenās, %)</w:t>
            </w:r>
            <w:r>
              <w:rPr>
                <w:rFonts w:ascii="Times New Roman" w:eastAsia="Times New Roman" w:hAnsi="Times New Roman" w:cs="Times New Roman"/>
                <w:color w:val="000000"/>
                <w:w w:val="100"/>
                <w:sz w:val="24"/>
                <w:szCs w:val="24"/>
                <w:lang w:eastAsia="lv-LV"/>
              </w:rPr>
              <w:t>*</w:t>
            </w:r>
          </w:p>
        </w:tc>
        <w:tc>
          <w:tcPr>
            <w:tcW w:w="583" w:type="pct"/>
            <w:tcBorders>
              <w:top w:val="single" w:sz="8" w:space="0" w:color="auto"/>
              <w:left w:val="nil"/>
              <w:bottom w:val="single" w:sz="8" w:space="0" w:color="auto"/>
              <w:right w:val="single" w:sz="8" w:space="0" w:color="auto"/>
            </w:tcBorders>
            <w:shd w:val="clear" w:color="auto" w:fill="auto"/>
            <w:vAlign w:val="center"/>
            <w:hideMark/>
          </w:tcPr>
          <w:p w14:paraId="3DCCBA11"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-2.2</w:t>
            </w:r>
          </w:p>
        </w:tc>
        <w:tc>
          <w:tcPr>
            <w:tcW w:w="583" w:type="pct"/>
            <w:tcBorders>
              <w:top w:val="single" w:sz="8" w:space="0" w:color="auto"/>
              <w:left w:val="nil"/>
              <w:bottom w:val="single" w:sz="8" w:space="0" w:color="auto"/>
              <w:right w:val="single" w:sz="18" w:space="0" w:color="auto"/>
            </w:tcBorders>
            <w:shd w:val="clear" w:color="auto" w:fill="auto"/>
            <w:vAlign w:val="center"/>
            <w:hideMark/>
          </w:tcPr>
          <w:p w14:paraId="720AE74E"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4.1</w:t>
            </w:r>
          </w:p>
        </w:tc>
        <w:tc>
          <w:tcPr>
            <w:tcW w:w="583" w:type="pct"/>
            <w:tcBorders>
              <w:top w:val="single" w:sz="8" w:space="0" w:color="auto"/>
              <w:left w:val="single" w:sz="18" w:space="0" w:color="auto"/>
              <w:bottom w:val="single" w:sz="8" w:space="0" w:color="auto"/>
              <w:right w:val="single" w:sz="8" w:space="0" w:color="auto"/>
            </w:tcBorders>
            <w:shd w:val="clear" w:color="auto" w:fill="auto"/>
            <w:vAlign w:val="center"/>
            <w:hideMark/>
          </w:tcPr>
          <w:p w14:paraId="27587FF7"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2.6</w:t>
            </w:r>
          </w:p>
        </w:tc>
        <w:tc>
          <w:tcPr>
            <w:tcW w:w="583" w:type="pct"/>
            <w:tcBorders>
              <w:top w:val="single" w:sz="8" w:space="0" w:color="auto"/>
              <w:left w:val="single" w:sz="8" w:space="0" w:color="auto"/>
              <w:bottom w:val="single" w:sz="8" w:space="0" w:color="auto"/>
              <w:right w:val="single" w:sz="18" w:space="0" w:color="auto"/>
            </w:tcBorders>
            <w:shd w:val="clear" w:color="auto" w:fill="auto"/>
            <w:vAlign w:val="center"/>
            <w:hideMark/>
          </w:tcPr>
          <w:p w14:paraId="0931FE7A"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0.6</w:t>
            </w:r>
          </w:p>
        </w:tc>
        <w:tc>
          <w:tcPr>
            <w:tcW w:w="583" w:type="pct"/>
            <w:tcBorders>
              <w:top w:val="single" w:sz="8" w:space="0" w:color="auto"/>
              <w:left w:val="single" w:sz="18" w:space="0" w:color="auto"/>
              <w:bottom w:val="single" w:sz="8" w:space="0" w:color="auto"/>
              <w:right w:val="single" w:sz="8" w:space="0" w:color="auto"/>
            </w:tcBorders>
            <w:vAlign w:val="center"/>
          </w:tcPr>
          <w:p w14:paraId="5DFC3655"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0C08B8">
              <w:rPr>
                <w:rFonts w:ascii="Times New Roman" w:hAnsi="Times New Roman" w:cs="Times New Roman"/>
                <w:color w:val="000000" w:themeColor="text1"/>
                <w:w w:val="100"/>
                <w:sz w:val="24"/>
                <w:szCs w:val="24"/>
              </w:rPr>
              <w:t>2,8</w:t>
            </w:r>
          </w:p>
        </w:tc>
        <w:tc>
          <w:tcPr>
            <w:tcW w:w="582" w:type="pct"/>
            <w:tcBorders>
              <w:top w:val="single" w:sz="8" w:space="0" w:color="auto"/>
              <w:left w:val="single" w:sz="8" w:space="0" w:color="auto"/>
              <w:bottom w:val="single" w:sz="8" w:space="0" w:color="auto"/>
              <w:right w:val="single" w:sz="18" w:space="0" w:color="auto"/>
            </w:tcBorders>
            <w:vAlign w:val="center"/>
          </w:tcPr>
          <w:p w14:paraId="2FBD3492"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0C08B8">
              <w:rPr>
                <w:rFonts w:ascii="Times New Roman" w:hAnsi="Times New Roman" w:cs="Times New Roman"/>
                <w:color w:val="000000" w:themeColor="text1"/>
                <w:w w:val="100"/>
                <w:sz w:val="24"/>
                <w:szCs w:val="24"/>
              </w:rPr>
              <w:t>1,0</w:t>
            </w:r>
          </w:p>
        </w:tc>
      </w:tr>
      <w:tr w:rsidR="00B105FB" w:rsidRPr="008E000C" w14:paraId="41452376" w14:textId="77777777" w:rsidTr="00980F75">
        <w:trPr>
          <w:trHeight w:val="330"/>
          <w:jc w:val="center"/>
        </w:trPr>
        <w:tc>
          <w:tcPr>
            <w:tcW w:w="1504" w:type="pct"/>
            <w:tcBorders>
              <w:top w:val="single" w:sz="8" w:space="0" w:color="auto"/>
              <w:left w:val="single" w:sz="18" w:space="0" w:color="auto"/>
              <w:bottom w:val="single" w:sz="8" w:space="0" w:color="auto"/>
              <w:right w:val="single" w:sz="8" w:space="0" w:color="auto"/>
            </w:tcBorders>
            <w:shd w:val="clear" w:color="auto" w:fill="auto"/>
            <w:noWrap/>
            <w:vAlign w:val="center"/>
            <w:hideMark/>
          </w:tcPr>
          <w:p w14:paraId="1209F590" w14:textId="77777777" w:rsidR="00B105FB" w:rsidRPr="008E000C" w:rsidRDefault="00B105FB" w:rsidP="00980F75">
            <w:pPr>
              <w:spacing w:after="0"/>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IKP pieaugums (faktiskajās cenās, %)</w:t>
            </w:r>
            <w:r>
              <w:rPr>
                <w:rFonts w:ascii="Times New Roman" w:eastAsia="Times New Roman" w:hAnsi="Times New Roman" w:cs="Times New Roman"/>
                <w:color w:val="000000"/>
                <w:w w:val="100"/>
                <w:sz w:val="24"/>
                <w:szCs w:val="24"/>
                <w:lang w:eastAsia="lv-LV"/>
              </w:rPr>
              <w:t>*</w:t>
            </w:r>
          </w:p>
        </w:tc>
        <w:tc>
          <w:tcPr>
            <w:tcW w:w="583" w:type="pct"/>
            <w:tcBorders>
              <w:top w:val="single" w:sz="8" w:space="0" w:color="auto"/>
              <w:left w:val="nil"/>
              <w:bottom w:val="single" w:sz="8" w:space="0" w:color="auto"/>
              <w:right w:val="single" w:sz="8" w:space="0" w:color="auto"/>
            </w:tcBorders>
            <w:shd w:val="clear" w:color="auto" w:fill="auto"/>
            <w:vAlign w:val="center"/>
            <w:hideMark/>
          </w:tcPr>
          <w:p w14:paraId="231E62CA"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-1.3</w:t>
            </w:r>
          </w:p>
        </w:tc>
        <w:tc>
          <w:tcPr>
            <w:tcW w:w="583" w:type="pct"/>
            <w:tcBorders>
              <w:top w:val="single" w:sz="8" w:space="0" w:color="auto"/>
              <w:left w:val="nil"/>
              <w:bottom w:val="single" w:sz="8" w:space="0" w:color="auto"/>
              <w:right w:val="single" w:sz="18" w:space="0" w:color="auto"/>
            </w:tcBorders>
            <w:shd w:val="clear" w:color="auto" w:fill="auto"/>
            <w:vAlign w:val="center"/>
            <w:hideMark/>
          </w:tcPr>
          <w:p w14:paraId="5FC0B22D"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11.2</w:t>
            </w:r>
          </w:p>
        </w:tc>
        <w:tc>
          <w:tcPr>
            <w:tcW w:w="583" w:type="pct"/>
            <w:tcBorders>
              <w:top w:val="single" w:sz="8" w:space="0" w:color="auto"/>
              <w:left w:val="single" w:sz="18" w:space="0" w:color="auto"/>
              <w:bottom w:val="single" w:sz="8" w:space="0" w:color="auto"/>
              <w:right w:val="single" w:sz="8" w:space="0" w:color="auto"/>
            </w:tcBorders>
            <w:shd w:val="clear" w:color="auto" w:fill="auto"/>
            <w:vAlign w:val="center"/>
            <w:hideMark/>
          </w:tcPr>
          <w:p w14:paraId="7E805D88"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17.0</w:t>
            </w:r>
          </w:p>
        </w:tc>
        <w:tc>
          <w:tcPr>
            <w:tcW w:w="583" w:type="pct"/>
            <w:tcBorders>
              <w:top w:val="single" w:sz="8" w:space="0" w:color="auto"/>
              <w:left w:val="single" w:sz="8" w:space="0" w:color="auto"/>
              <w:bottom w:val="single" w:sz="8" w:space="0" w:color="auto"/>
              <w:right w:val="single" w:sz="18" w:space="0" w:color="auto"/>
            </w:tcBorders>
            <w:shd w:val="clear" w:color="auto" w:fill="auto"/>
            <w:vAlign w:val="center"/>
            <w:hideMark/>
          </w:tcPr>
          <w:p w14:paraId="1D912DE8"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6.8</w:t>
            </w:r>
          </w:p>
        </w:tc>
        <w:tc>
          <w:tcPr>
            <w:tcW w:w="583" w:type="pct"/>
            <w:tcBorders>
              <w:top w:val="single" w:sz="8" w:space="0" w:color="auto"/>
              <w:left w:val="single" w:sz="18" w:space="0" w:color="auto"/>
              <w:bottom w:val="single" w:sz="8" w:space="0" w:color="auto"/>
              <w:right w:val="single" w:sz="8" w:space="0" w:color="auto"/>
            </w:tcBorders>
            <w:vAlign w:val="center"/>
          </w:tcPr>
          <w:p w14:paraId="659AEEBA"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0C08B8">
              <w:rPr>
                <w:rFonts w:ascii="Times New Roman" w:hAnsi="Times New Roman" w:cs="Times New Roman"/>
                <w:color w:val="000000" w:themeColor="text1"/>
                <w:w w:val="100"/>
                <w:sz w:val="24"/>
                <w:szCs w:val="24"/>
              </w:rPr>
              <w:t>16,7</w:t>
            </w:r>
          </w:p>
        </w:tc>
        <w:tc>
          <w:tcPr>
            <w:tcW w:w="582" w:type="pct"/>
            <w:tcBorders>
              <w:top w:val="single" w:sz="8" w:space="0" w:color="auto"/>
              <w:left w:val="single" w:sz="8" w:space="0" w:color="auto"/>
              <w:bottom w:val="single" w:sz="8" w:space="0" w:color="auto"/>
              <w:right w:val="single" w:sz="18" w:space="0" w:color="auto"/>
            </w:tcBorders>
            <w:vAlign w:val="center"/>
          </w:tcPr>
          <w:p w14:paraId="03C5406C"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0C08B8">
              <w:rPr>
                <w:rFonts w:ascii="Times New Roman" w:hAnsi="Times New Roman" w:cs="Times New Roman"/>
                <w:color w:val="000000" w:themeColor="text1"/>
                <w:w w:val="100"/>
                <w:sz w:val="24"/>
                <w:szCs w:val="24"/>
              </w:rPr>
              <w:t>7,7</w:t>
            </w:r>
          </w:p>
        </w:tc>
      </w:tr>
      <w:tr w:rsidR="00B105FB" w:rsidRPr="008E000C" w14:paraId="5EB622DD" w14:textId="77777777" w:rsidTr="00980F75">
        <w:trPr>
          <w:trHeight w:val="330"/>
          <w:jc w:val="center"/>
        </w:trPr>
        <w:tc>
          <w:tcPr>
            <w:tcW w:w="1504" w:type="pct"/>
            <w:tcBorders>
              <w:top w:val="single" w:sz="8" w:space="0" w:color="auto"/>
              <w:left w:val="single" w:sz="18" w:space="0" w:color="auto"/>
              <w:bottom w:val="single" w:sz="8" w:space="0" w:color="auto"/>
              <w:right w:val="single" w:sz="8" w:space="0" w:color="auto"/>
            </w:tcBorders>
            <w:shd w:val="clear" w:color="auto" w:fill="auto"/>
            <w:noWrap/>
            <w:vAlign w:val="center"/>
            <w:hideMark/>
          </w:tcPr>
          <w:p w14:paraId="146E3080" w14:textId="77777777" w:rsidR="00B105FB" w:rsidRPr="008E000C" w:rsidRDefault="00B105FB" w:rsidP="00980F75">
            <w:pPr>
              <w:spacing w:after="0"/>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Nodarbināto iedzīvotāju vidējais skaits (tūkst.)</w:t>
            </w:r>
          </w:p>
        </w:tc>
        <w:tc>
          <w:tcPr>
            <w:tcW w:w="583" w:type="pct"/>
            <w:tcBorders>
              <w:top w:val="single" w:sz="8" w:space="0" w:color="auto"/>
              <w:left w:val="nil"/>
              <w:bottom w:val="single" w:sz="8" w:space="0" w:color="auto"/>
              <w:right w:val="single" w:sz="8" w:space="0" w:color="auto"/>
            </w:tcBorders>
            <w:shd w:val="clear" w:color="auto" w:fill="auto"/>
            <w:vAlign w:val="center"/>
            <w:hideMark/>
          </w:tcPr>
          <w:p w14:paraId="62474EAD"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893</w:t>
            </w:r>
          </w:p>
        </w:tc>
        <w:tc>
          <w:tcPr>
            <w:tcW w:w="583" w:type="pct"/>
            <w:tcBorders>
              <w:top w:val="single" w:sz="8" w:space="0" w:color="auto"/>
              <w:left w:val="nil"/>
              <w:bottom w:val="single" w:sz="8" w:space="0" w:color="auto"/>
              <w:right w:val="single" w:sz="18" w:space="0" w:color="auto"/>
            </w:tcBorders>
            <w:shd w:val="clear" w:color="auto" w:fill="auto"/>
            <w:vAlign w:val="center"/>
            <w:hideMark/>
          </w:tcPr>
          <w:p w14:paraId="64A23B2E"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864</w:t>
            </w:r>
          </w:p>
        </w:tc>
        <w:tc>
          <w:tcPr>
            <w:tcW w:w="583" w:type="pct"/>
            <w:tcBorders>
              <w:top w:val="single" w:sz="8" w:space="0" w:color="auto"/>
              <w:left w:val="single" w:sz="18" w:space="0" w:color="auto"/>
              <w:bottom w:val="single" w:sz="8" w:space="0" w:color="auto"/>
              <w:right w:val="single" w:sz="8" w:space="0" w:color="auto"/>
            </w:tcBorders>
            <w:shd w:val="clear" w:color="auto" w:fill="auto"/>
            <w:vAlign w:val="center"/>
            <w:hideMark/>
          </w:tcPr>
          <w:p w14:paraId="3EC548F9"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879</w:t>
            </w:r>
          </w:p>
        </w:tc>
        <w:tc>
          <w:tcPr>
            <w:tcW w:w="583" w:type="pct"/>
            <w:tcBorders>
              <w:top w:val="single" w:sz="8" w:space="0" w:color="auto"/>
              <w:left w:val="single" w:sz="8" w:space="0" w:color="auto"/>
              <w:bottom w:val="single" w:sz="8" w:space="0" w:color="auto"/>
              <w:right w:val="single" w:sz="18" w:space="0" w:color="auto"/>
            </w:tcBorders>
            <w:shd w:val="clear" w:color="auto" w:fill="auto"/>
            <w:vAlign w:val="center"/>
            <w:hideMark/>
          </w:tcPr>
          <w:p w14:paraId="318D5C90"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878</w:t>
            </w:r>
          </w:p>
        </w:tc>
        <w:tc>
          <w:tcPr>
            <w:tcW w:w="583" w:type="pct"/>
            <w:tcBorders>
              <w:top w:val="single" w:sz="8" w:space="0" w:color="auto"/>
              <w:left w:val="single" w:sz="18" w:space="0" w:color="auto"/>
              <w:bottom w:val="single" w:sz="8" w:space="0" w:color="auto"/>
              <w:right w:val="single" w:sz="8" w:space="0" w:color="auto"/>
            </w:tcBorders>
            <w:vAlign w:val="center"/>
          </w:tcPr>
          <w:p w14:paraId="1724CD91"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0C08B8">
              <w:rPr>
                <w:rFonts w:ascii="Times New Roman" w:hAnsi="Times New Roman" w:cs="Times New Roman"/>
                <w:color w:val="000000" w:themeColor="text1"/>
                <w:w w:val="100"/>
                <w:sz w:val="24"/>
                <w:szCs w:val="24"/>
              </w:rPr>
              <w:t>881</w:t>
            </w:r>
          </w:p>
        </w:tc>
        <w:tc>
          <w:tcPr>
            <w:tcW w:w="582" w:type="pct"/>
            <w:tcBorders>
              <w:top w:val="single" w:sz="8" w:space="0" w:color="auto"/>
              <w:left w:val="single" w:sz="8" w:space="0" w:color="auto"/>
              <w:bottom w:val="single" w:sz="8" w:space="0" w:color="auto"/>
              <w:right w:val="single" w:sz="18" w:space="0" w:color="auto"/>
            </w:tcBorders>
            <w:vAlign w:val="center"/>
          </w:tcPr>
          <w:p w14:paraId="79EEF190"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0C08B8">
              <w:rPr>
                <w:rFonts w:ascii="Times New Roman" w:hAnsi="Times New Roman" w:cs="Times New Roman"/>
                <w:color w:val="000000" w:themeColor="text1"/>
                <w:w w:val="100"/>
                <w:sz w:val="24"/>
                <w:szCs w:val="24"/>
              </w:rPr>
              <w:t>881</w:t>
            </w:r>
          </w:p>
        </w:tc>
      </w:tr>
      <w:tr w:rsidR="00B105FB" w:rsidRPr="008E000C" w14:paraId="34CB5384" w14:textId="77777777" w:rsidTr="00980F75">
        <w:trPr>
          <w:trHeight w:val="330"/>
          <w:jc w:val="center"/>
        </w:trPr>
        <w:tc>
          <w:tcPr>
            <w:tcW w:w="1504" w:type="pct"/>
            <w:tcBorders>
              <w:top w:val="single" w:sz="8" w:space="0" w:color="auto"/>
              <w:left w:val="single" w:sz="18" w:space="0" w:color="auto"/>
              <w:bottom w:val="single" w:sz="8" w:space="0" w:color="auto"/>
              <w:right w:val="single" w:sz="8" w:space="0" w:color="auto"/>
            </w:tcBorders>
            <w:shd w:val="clear" w:color="auto" w:fill="auto"/>
            <w:noWrap/>
            <w:vAlign w:val="center"/>
            <w:hideMark/>
          </w:tcPr>
          <w:p w14:paraId="0C645460" w14:textId="77777777" w:rsidR="00B105FB" w:rsidRPr="008E000C" w:rsidRDefault="00B105FB" w:rsidP="00980F75">
            <w:pPr>
              <w:spacing w:after="0"/>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Bezdarba līmenis, %</w:t>
            </w:r>
          </w:p>
        </w:tc>
        <w:tc>
          <w:tcPr>
            <w:tcW w:w="583" w:type="pct"/>
            <w:tcBorders>
              <w:top w:val="single" w:sz="8" w:space="0" w:color="auto"/>
              <w:left w:val="nil"/>
              <w:bottom w:val="single" w:sz="8" w:space="0" w:color="auto"/>
              <w:right w:val="single" w:sz="8" w:space="0" w:color="auto"/>
            </w:tcBorders>
            <w:shd w:val="clear" w:color="auto" w:fill="auto"/>
            <w:vAlign w:val="center"/>
            <w:hideMark/>
          </w:tcPr>
          <w:p w14:paraId="0005A36C"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8.1</w:t>
            </w:r>
          </w:p>
        </w:tc>
        <w:tc>
          <w:tcPr>
            <w:tcW w:w="583" w:type="pct"/>
            <w:tcBorders>
              <w:top w:val="single" w:sz="8" w:space="0" w:color="auto"/>
              <w:left w:val="nil"/>
              <w:bottom w:val="single" w:sz="8" w:space="0" w:color="auto"/>
              <w:right w:val="single" w:sz="18" w:space="0" w:color="auto"/>
            </w:tcBorders>
            <w:shd w:val="clear" w:color="auto" w:fill="auto"/>
            <w:vAlign w:val="center"/>
            <w:hideMark/>
          </w:tcPr>
          <w:p w14:paraId="735B10B7"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7.6</w:t>
            </w:r>
          </w:p>
        </w:tc>
        <w:tc>
          <w:tcPr>
            <w:tcW w:w="583" w:type="pct"/>
            <w:tcBorders>
              <w:top w:val="single" w:sz="8" w:space="0" w:color="auto"/>
              <w:left w:val="single" w:sz="18" w:space="0" w:color="auto"/>
              <w:bottom w:val="single" w:sz="8" w:space="0" w:color="auto"/>
              <w:right w:val="single" w:sz="8" w:space="0" w:color="auto"/>
            </w:tcBorders>
            <w:shd w:val="clear" w:color="auto" w:fill="auto"/>
            <w:vAlign w:val="center"/>
            <w:hideMark/>
          </w:tcPr>
          <w:p w14:paraId="079D3C50"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6.8</w:t>
            </w:r>
          </w:p>
        </w:tc>
        <w:tc>
          <w:tcPr>
            <w:tcW w:w="583" w:type="pct"/>
            <w:tcBorders>
              <w:top w:val="single" w:sz="8" w:space="0" w:color="auto"/>
              <w:left w:val="single" w:sz="8" w:space="0" w:color="auto"/>
              <w:bottom w:val="single" w:sz="8" w:space="0" w:color="auto"/>
              <w:right w:val="single" w:sz="18" w:space="0" w:color="auto"/>
            </w:tcBorders>
            <w:shd w:val="clear" w:color="auto" w:fill="auto"/>
            <w:vAlign w:val="center"/>
            <w:hideMark/>
          </w:tcPr>
          <w:p w14:paraId="361F85D5"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6.7</w:t>
            </w:r>
          </w:p>
        </w:tc>
        <w:tc>
          <w:tcPr>
            <w:tcW w:w="583" w:type="pct"/>
            <w:tcBorders>
              <w:top w:val="single" w:sz="8" w:space="0" w:color="auto"/>
              <w:left w:val="single" w:sz="18" w:space="0" w:color="auto"/>
              <w:bottom w:val="single" w:sz="8" w:space="0" w:color="auto"/>
              <w:right w:val="single" w:sz="8" w:space="0" w:color="auto"/>
            </w:tcBorders>
            <w:vAlign w:val="center"/>
          </w:tcPr>
          <w:p w14:paraId="725DFBC4"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0C08B8">
              <w:rPr>
                <w:rFonts w:ascii="Times New Roman" w:hAnsi="Times New Roman" w:cs="Times New Roman"/>
                <w:color w:val="000000" w:themeColor="text1"/>
                <w:w w:val="100"/>
                <w:sz w:val="24"/>
                <w:szCs w:val="24"/>
              </w:rPr>
              <w:t>7,1</w:t>
            </w:r>
          </w:p>
        </w:tc>
        <w:tc>
          <w:tcPr>
            <w:tcW w:w="582" w:type="pct"/>
            <w:tcBorders>
              <w:top w:val="single" w:sz="8" w:space="0" w:color="auto"/>
              <w:left w:val="single" w:sz="8" w:space="0" w:color="auto"/>
              <w:bottom w:val="single" w:sz="8" w:space="0" w:color="auto"/>
              <w:right w:val="single" w:sz="18" w:space="0" w:color="auto"/>
            </w:tcBorders>
            <w:vAlign w:val="center"/>
          </w:tcPr>
          <w:p w14:paraId="1A9081AC"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0C08B8">
              <w:rPr>
                <w:rFonts w:ascii="Times New Roman" w:hAnsi="Times New Roman" w:cs="Times New Roman"/>
                <w:color w:val="000000" w:themeColor="text1"/>
                <w:w w:val="100"/>
                <w:sz w:val="24"/>
                <w:szCs w:val="24"/>
              </w:rPr>
              <w:t>7,1</w:t>
            </w:r>
          </w:p>
        </w:tc>
      </w:tr>
      <w:tr w:rsidR="00B105FB" w:rsidRPr="008E000C" w14:paraId="2086FD58" w14:textId="77777777" w:rsidTr="00980F75">
        <w:trPr>
          <w:trHeight w:val="330"/>
          <w:jc w:val="center"/>
        </w:trPr>
        <w:tc>
          <w:tcPr>
            <w:tcW w:w="1504" w:type="pct"/>
            <w:tcBorders>
              <w:top w:val="single" w:sz="8" w:space="0" w:color="auto"/>
              <w:left w:val="single" w:sz="18" w:space="0" w:color="auto"/>
              <w:bottom w:val="single" w:sz="8" w:space="0" w:color="auto"/>
              <w:right w:val="single" w:sz="8" w:space="0" w:color="auto"/>
            </w:tcBorders>
            <w:shd w:val="clear" w:color="auto" w:fill="auto"/>
            <w:noWrap/>
            <w:vAlign w:val="center"/>
            <w:hideMark/>
          </w:tcPr>
          <w:p w14:paraId="774FB2FC" w14:textId="77777777" w:rsidR="00B105FB" w:rsidRPr="008E000C" w:rsidRDefault="00B105FB" w:rsidP="00980F75">
            <w:pPr>
              <w:spacing w:after="0"/>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Produktivitāte (salīdzināmās cenās, tūkst. EUR)</w:t>
            </w:r>
          </w:p>
        </w:tc>
        <w:tc>
          <w:tcPr>
            <w:tcW w:w="583" w:type="pct"/>
            <w:tcBorders>
              <w:top w:val="single" w:sz="8" w:space="0" w:color="auto"/>
              <w:left w:val="nil"/>
              <w:bottom w:val="single" w:sz="8" w:space="0" w:color="auto"/>
              <w:right w:val="single" w:sz="8" w:space="0" w:color="auto"/>
            </w:tcBorders>
            <w:shd w:val="clear" w:color="auto" w:fill="auto"/>
            <w:vAlign w:val="center"/>
            <w:hideMark/>
          </w:tcPr>
          <w:p w14:paraId="47926B0D"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30.4</w:t>
            </w:r>
          </w:p>
        </w:tc>
        <w:tc>
          <w:tcPr>
            <w:tcW w:w="583" w:type="pct"/>
            <w:tcBorders>
              <w:top w:val="single" w:sz="8" w:space="0" w:color="auto"/>
              <w:left w:val="nil"/>
              <w:bottom w:val="single" w:sz="8" w:space="0" w:color="auto"/>
              <w:right w:val="single" w:sz="18" w:space="0" w:color="auto"/>
            </w:tcBorders>
            <w:shd w:val="clear" w:color="auto" w:fill="auto"/>
            <w:vAlign w:val="center"/>
            <w:hideMark/>
          </w:tcPr>
          <w:p w14:paraId="5721B527"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32.7</w:t>
            </w:r>
          </w:p>
        </w:tc>
        <w:tc>
          <w:tcPr>
            <w:tcW w:w="583" w:type="pct"/>
            <w:tcBorders>
              <w:top w:val="single" w:sz="8" w:space="0" w:color="auto"/>
              <w:left w:val="single" w:sz="18" w:space="0" w:color="auto"/>
              <w:bottom w:val="single" w:sz="8" w:space="0" w:color="auto"/>
              <w:right w:val="single" w:sz="8" w:space="0" w:color="auto"/>
            </w:tcBorders>
            <w:shd w:val="clear" w:color="auto" w:fill="auto"/>
            <w:vAlign w:val="center"/>
            <w:hideMark/>
          </w:tcPr>
          <w:p w14:paraId="432F746E"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32.9</w:t>
            </w:r>
          </w:p>
        </w:tc>
        <w:tc>
          <w:tcPr>
            <w:tcW w:w="583" w:type="pct"/>
            <w:tcBorders>
              <w:top w:val="single" w:sz="8" w:space="0" w:color="auto"/>
              <w:left w:val="single" w:sz="8" w:space="0" w:color="auto"/>
              <w:bottom w:val="single" w:sz="8" w:space="0" w:color="auto"/>
              <w:right w:val="single" w:sz="18" w:space="0" w:color="auto"/>
            </w:tcBorders>
            <w:shd w:val="clear" w:color="auto" w:fill="auto"/>
            <w:vAlign w:val="center"/>
            <w:hideMark/>
          </w:tcPr>
          <w:p w14:paraId="0E9282F2"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33.2</w:t>
            </w:r>
          </w:p>
        </w:tc>
        <w:tc>
          <w:tcPr>
            <w:tcW w:w="583" w:type="pct"/>
            <w:tcBorders>
              <w:top w:val="single" w:sz="8" w:space="0" w:color="auto"/>
              <w:left w:val="single" w:sz="18" w:space="0" w:color="auto"/>
              <w:bottom w:val="single" w:sz="8" w:space="0" w:color="auto"/>
              <w:right w:val="single" w:sz="8" w:space="0" w:color="auto"/>
            </w:tcBorders>
            <w:vAlign w:val="center"/>
          </w:tcPr>
          <w:p w14:paraId="25B62F5E"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0C08B8">
              <w:rPr>
                <w:rFonts w:ascii="Times New Roman" w:hAnsi="Times New Roman" w:cs="Times New Roman"/>
                <w:color w:val="000000" w:themeColor="text1"/>
                <w:w w:val="100"/>
                <w:sz w:val="24"/>
                <w:szCs w:val="24"/>
              </w:rPr>
              <w:t>32,9</w:t>
            </w:r>
          </w:p>
        </w:tc>
        <w:tc>
          <w:tcPr>
            <w:tcW w:w="582" w:type="pct"/>
            <w:tcBorders>
              <w:top w:val="single" w:sz="8" w:space="0" w:color="auto"/>
              <w:left w:val="single" w:sz="8" w:space="0" w:color="auto"/>
              <w:bottom w:val="single" w:sz="8" w:space="0" w:color="auto"/>
              <w:right w:val="single" w:sz="18" w:space="0" w:color="auto"/>
            </w:tcBorders>
            <w:vAlign w:val="center"/>
          </w:tcPr>
          <w:p w14:paraId="5943FE7E"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0C08B8">
              <w:rPr>
                <w:rFonts w:ascii="Times New Roman" w:hAnsi="Times New Roman" w:cs="Times New Roman"/>
                <w:color w:val="000000" w:themeColor="text1"/>
                <w:w w:val="100"/>
                <w:sz w:val="24"/>
                <w:szCs w:val="24"/>
              </w:rPr>
              <w:t>33,3</w:t>
            </w:r>
          </w:p>
        </w:tc>
      </w:tr>
      <w:tr w:rsidR="00B105FB" w:rsidRPr="008E000C" w14:paraId="723515AF" w14:textId="77777777" w:rsidTr="00980F75">
        <w:trPr>
          <w:trHeight w:val="330"/>
          <w:jc w:val="center"/>
        </w:trPr>
        <w:tc>
          <w:tcPr>
            <w:tcW w:w="1504" w:type="pct"/>
            <w:tcBorders>
              <w:top w:val="single" w:sz="8" w:space="0" w:color="auto"/>
              <w:left w:val="single" w:sz="18" w:space="0" w:color="auto"/>
              <w:bottom w:val="single" w:sz="8" w:space="0" w:color="auto"/>
              <w:right w:val="single" w:sz="8" w:space="0" w:color="auto"/>
            </w:tcBorders>
            <w:shd w:val="clear" w:color="auto" w:fill="auto"/>
            <w:noWrap/>
            <w:vAlign w:val="center"/>
            <w:hideMark/>
          </w:tcPr>
          <w:p w14:paraId="75B1DD13" w14:textId="77777777" w:rsidR="00B105FB" w:rsidRPr="008E000C" w:rsidRDefault="00B105FB" w:rsidP="00980F75">
            <w:pPr>
              <w:spacing w:after="0"/>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Produktivitātes pieaugums (salīdzināmās cenās, %)</w:t>
            </w:r>
          </w:p>
        </w:tc>
        <w:tc>
          <w:tcPr>
            <w:tcW w:w="583" w:type="pct"/>
            <w:tcBorders>
              <w:top w:val="single" w:sz="8" w:space="0" w:color="auto"/>
              <w:left w:val="nil"/>
              <w:bottom w:val="single" w:sz="8" w:space="0" w:color="auto"/>
              <w:right w:val="single" w:sz="8" w:space="0" w:color="auto"/>
            </w:tcBorders>
            <w:shd w:val="clear" w:color="auto" w:fill="auto"/>
            <w:vAlign w:val="center"/>
            <w:hideMark/>
          </w:tcPr>
          <w:p w14:paraId="437B2660"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-0.3</w:t>
            </w:r>
          </w:p>
        </w:tc>
        <w:tc>
          <w:tcPr>
            <w:tcW w:w="583" w:type="pct"/>
            <w:tcBorders>
              <w:top w:val="single" w:sz="8" w:space="0" w:color="auto"/>
              <w:left w:val="nil"/>
              <w:bottom w:val="single" w:sz="8" w:space="0" w:color="auto"/>
              <w:right w:val="single" w:sz="18" w:space="0" w:color="auto"/>
            </w:tcBorders>
            <w:shd w:val="clear" w:color="auto" w:fill="auto"/>
            <w:vAlign w:val="center"/>
            <w:hideMark/>
          </w:tcPr>
          <w:p w14:paraId="667C101B"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7.6</w:t>
            </w:r>
          </w:p>
        </w:tc>
        <w:tc>
          <w:tcPr>
            <w:tcW w:w="583" w:type="pct"/>
            <w:tcBorders>
              <w:top w:val="single" w:sz="8" w:space="0" w:color="auto"/>
              <w:left w:val="single" w:sz="18" w:space="0" w:color="auto"/>
              <w:bottom w:val="single" w:sz="8" w:space="0" w:color="auto"/>
              <w:right w:val="single" w:sz="8" w:space="0" w:color="auto"/>
            </w:tcBorders>
            <w:shd w:val="clear" w:color="auto" w:fill="auto"/>
            <w:vAlign w:val="center"/>
            <w:hideMark/>
          </w:tcPr>
          <w:p w14:paraId="4082D6D7"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0.9</w:t>
            </w:r>
          </w:p>
        </w:tc>
        <w:tc>
          <w:tcPr>
            <w:tcW w:w="583" w:type="pct"/>
            <w:tcBorders>
              <w:top w:val="single" w:sz="8" w:space="0" w:color="auto"/>
              <w:left w:val="single" w:sz="8" w:space="0" w:color="auto"/>
              <w:bottom w:val="single" w:sz="8" w:space="0" w:color="auto"/>
              <w:right w:val="single" w:sz="18" w:space="0" w:color="auto"/>
            </w:tcBorders>
            <w:shd w:val="clear" w:color="auto" w:fill="auto"/>
            <w:vAlign w:val="center"/>
            <w:hideMark/>
          </w:tcPr>
          <w:p w14:paraId="7678D9AF"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0.7</w:t>
            </w:r>
          </w:p>
        </w:tc>
        <w:tc>
          <w:tcPr>
            <w:tcW w:w="583" w:type="pct"/>
            <w:tcBorders>
              <w:top w:val="single" w:sz="8" w:space="0" w:color="auto"/>
              <w:left w:val="single" w:sz="18" w:space="0" w:color="auto"/>
              <w:bottom w:val="single" w:sz="8" w:space="0" w:color="auto"/>
              <w:right w:val="single" w:sz="8" w:space="0" w:color="auto"/>
            </w:tcBorders>
            <w:vAlign w:val="center"/>
          </w:tcPr>
          <w:p w14:paraId="1543F7C7"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0C08B8">
              <w:rPr>
                <w:rFonts w:ascii="Times New Roman" w:hAnsi="Times New Roman" w:cs="Times New Roman"/>
                <w:color w:val="000000" w:themeColor="text1"/>
                <w:w w:val="100"/>
                <w:sz w:val="24"/>
                <w:szCs w:val="24"/>
              </w:rPr>
              <w:t>0,9</w:t>
            </w:r>
          </w:p>
        </w:tc>
        <w:tc>
          <w:tcPr>
            <w:tcW w:w="582" w:type="pct"/>
            <w:tcBorders>
              <w:top w:val="single" w:sz="8" w:space="0" w:color="auto"/>
              <w:left w:val="single" w:sz="8" w:space="0" w:color="auto"/>
              <w:bottom w:val="single" w:sz="8" w:space="0" w:color="auto"/>
              <w:right w:val="single" w:sz="18" w:space="0" w:color="auto"/>
            </w:tcBorders>
            <w:vAlign w:val="center"/>
          </w:tcPr>
          <w:p w14:paraId="6B8541AA"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0C08B8">
              <w:rPr>
                <w:rFonts w:ascii="Times New Roman" w:hAnsi="Times New Roman" w:cs="Times New Roman"/>
                <w:color w:val="000000" w:themeColor="text1"/>
                <w:w w:val="100"/>
                <w:sz w:val="24"/>
                <w:szCs w:val="24"/>
              </w:rPr>
              <w:t>1,0</w:t>
            </w:r>
          </w:p>
        </w:tc>
      </w:tr>
      <w:tr w:rsidR="00B105FB" w:rsidRPr="008E000C" w14:paraId="0DC2DF7C" w14:textId="77777777" w:rsidTr="00980F75">
        <w:trPr>
          <w:trHeight w:val="330"/>
          <w:jc w:val="center"/>
        </w:trPr>
        <w:tc>
          <w:tcPr>
            <w:tcW w:w="1504" w:type="pct"/>
            <w:tcBorders>
              <w:top w:val="single" w:sz="8" w:space="0" w:color="auto"/>
              <w:left w:val="single" w:sz="18" w:space="0" w:color="auto"/>
              <w:bottom w:val="single" w:sz="8" w:space="0" w:color="auto"/>
              <w:right w:val="single" w:sz="8" w:space="0" w:color="auto"/>
            </w:tcBorders>
            <w:shd w:val="clear" w:color="auto" w:fill="auto"/>
            <w:noWrap/>
            <w:vAlign w:val="center"/>
            <w:hideMark/>
          </w:tcPr>
          <w:p w14:paraId="798DCF62" w14:textId="77777777" w:rsidR="00B105FB" w:rsidRPr="008E000C" w:rsidRDefault="00B105FB" w:rsidP="00980F75">
            <w:pPr>
              <w:spacing w:after="0"/>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 xml:space="preserve">Vidējā bruto alga (mēnesī, </w:t>
            </w:r>
            <w:proofErr w:type="spellStart"/>
            <w:r w:rsidRPr="008E000C">
              <w:rPr>
                <w:rFonts w:ascii="Times New Roman" w:eastAsia="Times New Roman" w:hAnsi="Times New Roman" w:cs="Times New Roman"/>
                <w:i/>
                <w:iCs/>
                <w:color w:val="000000"/>
                <w:w w:val="100"/>
                <w:sz w:val="24"/>
                <w:szCs w:val="24"/>
                <w:lang w:eastAsia="lv-LV"/>
              </w:rPr>
              <w:t>euro</w:t>
            </w:r>
            <w:proofErr w:type="spellEnd"/>
            <w:r w:rsidRPr="008E000C">
              <w:rPr>
                <w:rFonts w:ascii="Times New Roman" w:eastAsia="Times New Roman" w:hAnsi="Times New Roman" w:cs="Times New Roman"/>
                <w:color w:val="000000"/>
                <w:w w:val="100"/>
                <w:sz w:val="24"/>
                <w:szCs w:val="24"/>
                <w:lang w:eastAsia="lv-LV"/>
              </w:rPr>
              <w:t>)</w:t>
            </w:r>
          </w:p>
        </w:tc>
        <w:tc>
          <w:tcPr>
            <w:tcW w:w="583" w:type="pct"/>
            <w:tcBorders>
              <w:top w:val="single" w:sz="8" w:space="0" w:color="auto"/>
              <w:left w:val="nil"/>
              <w:bottom w:val="single" w:sz="8" w:space="0" w:color="auto"/>
              <w:right w:val="single" w:sz="8" w:space="0" w:color="auto"/>
            </w:tcBorders>
            <w:shd w:val="clear" w:color="auto" w:fill="auto"/>
            <w:vAlign w:val="center"/>
            <w:hideMark/>
          </w:tcPr>
          <w:p w14:paraId="5059E9B2"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1 143</w:t>
            </w:r>
          </w:p>
        </w:tc>
        <w:tc>
          <w:tcPr>
            <w:tcW w:w="583" w:type="pct"/>
            <w:tcBorders>
              <w:top w:val="single" w:sz="8" w:space="0" w:color="auto"/>
              <w:left w:val="nil"/>
              <w:bottom w:val="single" w:sz="8" w:space="0" w:color="auto"/>
              <w:right w:val="single" w:sz="18" w:space="0" w:color="auto"/>
            </w:tcBorders>
            <w:shd w:val="clear" w:color="auto" w:fill="auto"/>
            <w:vAlign w:val="center"/>
            <w:hideMark/>
          </w:tcPr>
          <w:p w14:paraId="24673EB0"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1 277</w:t>
            </w:r>
          </w:p>
        </w:tc>
        <w:tc>
          <w:tcPr>
            <w:tcW w:w="583" w:type="pct"/>
            <w:tcBorders>
              <w:top w:val="single" w:sz="8" w:space="0" w:color="auto"/>
              <w:left w:val="single" w:sz="18" w:space="0" w:color="auto"/>
              <w:bottom w:val="single" w:sz="8" w:space="0" w:color="auto"/>
              <w:right w:val="single" w:sz="8" w:space="0" w:color="auto"/>
            </w:tcBorders>
            <w:shd w:val="clear" w:color="auto" w:fill="auto"/>
            <w:vAlign w:val="center"/>
            <w:hideMark/>
          </w:tcPr>
          <w:p w14:paraId="27DCA46E"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1 373</w:t>
            </w:r>
          </w:p>
        </w:tc>
        <w:tc>
          <w:tcPr>
            <w:tcW w:w="583" w:type="pct"/>
            <w:tcBorders>
              <w:top w:val="single" w:sz="8" w:space="0" w:color="auto"/>
              <w:left w:val="single" w:sz="8" w:space="0" w:color="auto"/>
              <w:bottom w:val="single" w:sz="8" w:space="0" w:color="auto"/>
              <w:right w:val="single" w:sz="18" w:space="0" w:color="auto"/>
            </w:tcBorders>
            <w:shd w:val="clear" w:color="auto" w:fill="auto"/>
            <w:vAlign w:val="center"/>
            <w:hideMark/>
          </w:tcPr>
          <w:p w14:paraId="569CD62B"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1 456</w:t>
            </w:r>
          </w:p>
        </w:tc>
        <w:tc>
          <w:tcPr>
            <w:tcW w:w="583" w:type="pct"/>
            <w:tcBorders>
              <w:top w:val="single" w:sz="8" w:space="0" w:color="auto"/>
              <w:left w:val="single" w:sz="18" w:space="0" w:color="auto"/>
              <w:bottom w:val="single" w:sz="8" w:space="0" w:color="auto"/>
              <w:right w:val="single" w:sz="8" w:space="0" w:color="auto"/>
            </w:tcBorders>
            <w:vAlign w:val="center"/>
          </w:tcPr>
          <w:p w14:paraId="59D11107"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0C08B8">
              <w:rPr>
                <w:rFonts w:ascii="Times New Roman" w:hAnsi="Times New Roman" w:cs="Times New Roman"/>
                <w:color w:val="000000" w:themeColor="text1"/>
                <w:w w:val="100"/>
                <w:sz w:val="24"/>
                <w:szCs w:val="24"/>
              </w:rPr>
              <w:t>1379</w:t>
            </w:r>
          </w:p>
        </w:tc>
        <w:tc>
          <w:tcPr>
            <w:tcW w:w="582" w:type="pct"/>
            <w:tcBorders>
              <w:top w:val="single" w:sz="8" w:space="0" w:color="auto"/>
              <w:left w:val="single" w:sz="8" w:space="0" w:color="auto"/>
              <w:bottom w:val="single" w:sz="8" w:space="0" w:color="auto"/>
              <w:right w:val="single" w:sz="18" w:space="0" w:color="auto"/>
            </w:tcBorders>
            <w:vAlign w:val="center"/>
          </w:tcPr>
          <w:p w14:paraId="4487187A"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0C08B8">
              <w:rPr>
                <w:rFonts w:ascii="Times New Roman" w:hAnsi="Times New Roman" w:cs="Times New Roman"/>
                <w:color w:val="000000" w:themeColor="text1"/>
                <w:w w:val="100"/>
                <w:sz w:val="24"/>
                <w:szCs w:val="24"/>
              </w:rPr>
              <w:t>1462</w:t>
            </w:r>
          </w:p>
        </w:tc>
      </w:tr>
      <w:tr w:rsidR="00B105FB" w:rsidRPr="008E000C" w14:paraId="154BAC14" w14:textId="77777777" w:rsidTr="00980F75">
        <w:trPr>
          <w:trHeight w:val="330"/>
          <w:jc w:val="center"/>
        </w:trPr>
        <w:tc>
          <w:tcPr>
            <w:tcW w:w="1504" w:type="pct"/>
            <w:tcBorders>
              <w:top w:val="single" w:sz="8" w:space="0" w:color="auto"/>
              <w:left w:val="single" w:sz="18" w:space="0" w:color="auto"/>
              <w:bottom w:val="single" w:sz="8" w:space="0" w:color="auto"/>
              <w:right w:val="single" w:sz="8" w:space="0" w:color="auto"/>
            </w:tcBorders>
            <w:shd w:val="clear" w:color="auto" w:fill="auto"/>
            <w:noWrap/>
            <w:vAlign w:val="center"/>
            <w:hideMark/>
          </w:tcPr>
          <w:p w14:paraId="08043F63" w14:textId="77777777" w:rsidR="00B105FB" w:rsidRPr="008E000C" w:rsidRDefault="00B105FB" w:rsidP="00980F75">
            <w:pPr>
              <w:spacing w:after="0"/>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Vidējās bruto algas pieaugums, %</w:t>
            </w:r>
          </w:p>
        </w:tc>
        <w:tc>
          <w:tcPr>
            <w:tcW w:w="583" w:type="pct"/>
            <w:tcBorders>
              <w:top w:val="single" w:sz="8" w:space="0" w:color="auto"/>
              <w:left w:val="nil"/>
              <w:bottom w:val="single" w:sz="8" w:space="0" w:color="auto"/>
              <w:right w:val="single" w:sz="8" w:space="0" w:color="auto"/>
            </w:tcBorders>
            <w:shd w:val="clear" w:color="auto" w:fill="auto"/>
            <w:vAlign w:val="center"/>
            <w:hideMark/>
          </w:tcPr>
          <w:p w14:paraId="26007A4E"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6.2</w:t>
            </w:r>
          </w:p>
        </w:tc>
        <w:tc>
          <w:tcPr>
            <w:tcW w:w="583" w:type="pct"/>
            <w:tcBorders>
              <w:top w:val="single" w:sz="8" w:space="0" w:color="auto"/>
              <w:left w:val="nil"/>
              <w:bottom w:val="single" w:sz="8" w:space="0" w:color="auto"/>
              <w:right w:val="single" w:sz="18" w:space="0" w:color="auto"/>
            </w:tcBorders>
            <w:shd w:val="clear" w:color="auto" w:fill="auto"/>
            <w:vAlign w:val="center"/>
            <w:hideMark/>
          </w:tcPr>
          <w:p w14:paraId="7B60C4CB"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11.8</w:t>
            </w:r>
          </w:p>
        </w:tc>
        <w:tc>
          <w:tcPr>
            <w:tcW w:w="583" w:type="pct"/>
            <w:tcBorders>
              <w:top w:val="single" w:sz="8" w:space="0" w:color="auto"/>
              <w:left w:val="single" w:sz="18" w:space="0" w:color="auto"/>
              <w:bottom w:val="single" w:sz="8" w:space="0" w:color="auto"/>
              <w:right w:val="single" w:sz="8" w:space="0" w:color="auto"/>
            </w:tcBorders>
            <w:shd w:val="clear" w:color="auto" w:fill="auto"/>
            <w:vAlign w:val="center"/>
            <w:hideMark/>
          </w:tcPr>
          <w:p w14:paraId="4A6AA45E"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7.5</w:t>
            </w:r>
          </w:p>
        </w:tc>
        <w:tc>
          <w:tcPr>
            <w:tcW w:w="583" w:type="pct"/>
            <w:tcBorders>
              <w:top w:val="single" w:sz="8" w:space="0" w:color="auto"/>
              <w:left w:val="single" w:sz="8" w:space="0" w:color="auto"/>
              <w:bottom w:val="single" w:sz="8" w:space="0" w:color="auto"/>
              <w:right w:val="single" w:sz="18" w:space="0" w:color="auto"/>
            </w:tcBorders>
            <w:shd w:val="clear" w:color="auto" w:fill="auto"/>
            <w:vAlign w:val="center"/>
            <w:hideMark/>
          </w:tcPr>
          <w:p w14:paraId="78309777"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6.0</w:t>
            </w:r>
          </w:p>
        </w:tc>
        <w:tc>
          <w:tcPr>
            <w:tcW w:w="583" w:type="pct"/>
            <w:tcBorders>
              <w:top w:val="single" w:sz="8" w:space="0" w:color="auto"/>
              <w:left w:val="single" w:sz="18" w:space="0" w:color="auto"/>
              <w:bottom w:val="single" w:sz="8" w:space="0" w:color="auto"/>
              <w:right w:val="single" w:sz="8" w:space="0" w:color="auto"/>
            </w:tcBorders>
            <w:vAlign w:val="center"/>
          </w:tcPr>
          <w:p w14:paraId="7B2FB0F4"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0C08B8">
              <w:rPr>
                <w:rFonts w:ascii="Times New Roman" w:hAnsi="Times New Roman" w:cs="Times New Roman"/>
                <w:color w:val="000000" w:themeColor="text1"/>
                <w:w w:val="100"/>
                <w:sz w:val="24"/>
                <w:szCs w:val="24"/>
              </w:rPr>
              <w:t>8,0</w:t>
            </w:r>
          </w:p>
        </w:tc>
        <w:tc>
          <w:tcPr>
            <w:tcW w:w="582" w:type="pct"/>
            <w:tcBorders>
              <w:top w:val="single" w:sz="8" w:space="0" w:color="auto"/>
              <w:left w:val="single" w:sz="8" w:space="0" w:color="auto"/>
              <w:bottom w:val="single" w:sz="8" w:space="0" w:color="auto"/>
              <w:right w:val="single" w:sz="18" w:space="0" w:color="auto"/>
            </w:tcBorders>
            <w:vAlign w:val="center"/>
          </w:tcPr>
          <w:p w14:paraId="6FA4833D"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0C08B8">
              <w:rPr>
                <w:rFonts w:ascii="Times New Roman" w:hAnsi="Times New Roman" w:cs="Times New Roman"/>
                <w:color w:val="000000" w:themeColor="text1"/>
                <w:w w:val="100"/>
                <w:sz w:val="24"/>
                <w:szCs w:val="24"/>
              </w:rPr>
              <w:t>6,0</w:t>
            </w:r>
          </w:p>
        </w:tc>
      </w:tr>
      <w:tr w:rsidR="00B105FB" w:rsidRPr="008E000C" w14:paraId="30C99B45" w14:textId="77777777" w:rsidTr="00980F75">
        <w:trPr>
          <w:trHeight w:val="330"/>
          <w:jc w:val="center"/>
        </w:trPr>
        <w:tc>
          <w:tcPr>
            <w:tcW w:w="1504" w:type="pct"/>
            <w:tcBorders>
              <w:top w:val="single" w:sz="8" w:space="0" w:color="auto"/>
              <w:left w:val="single" w:sz="18" w:space="0" w:color="auto"/>
              <w:bottom w:val="single" w:sz="18" w:space="0" w:color="auto"/>
              <w:right w:val="single" w:sz="8" w:space="0" w:color="auto"/>
            </w:tcBorders>
            <w:shd w:val="clear" w:color="auto" w:fill="auto"/>
            <w:noWrap/>
            <w:vAlign w:val="center"/>
            <w:hideMark/>
          </w:tcPr>
          <w:p w14:paraId="13154AEB" w14:textId="77777777" w:rsidR="00B105FB" w:rsidRPr="008E000C" w:rsidRDefault="00B105FB" w:rsidP="00980F75">
            <w:pPr>
              <w:spacing w:after="0"/>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Patēriņa cenu indekss (gada vidējais, %)</w:t>
            </w:r>
          </w:p>
        </w:tc>
        <w:tc>
          <w:tcPr>
            <w:tcW w:w="583" w:type="pct"/>
            <w:tcBorders>
              <w:top w:val="single" w:sz="8" w:space="0" w:color="auto"/>
              <w:left w:val="nil"/>
              <w:bottom w:val="single" w:sz="18" w:space="0" w:color="auto"/>
              <w:right w:val="single" w:sz="8" w:space="0" w:color="auto"/>
            </w:tcBorders>
            <w:shd w:val="clear" w:color="auto" w:fill="auto"/>
            <w:vAlign w:val="center"/>
            <w:hideMark/>
          </w:tcPr>
          <w:p w14:paraId="32E7D012"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0.2</w:t>
            </w:r>
          </w:p>
        </w:tc>
        <w:tc>
          <w:tcPr>
            <w:tcW w:w="583" w:type="pct"/>
            <w:tcBorders>
              <w:top w:val="single" w:sz="8" w:space="0" w:color="auto"/>
              <w:left w:val="nil"/>
              <w:bottom w:val="single" w:sz="18" w:space="0" w:color="auto"/>
              <w:right w:val="single" w:sz="18" w:space="0" w:color="auto"/>
            </w:tcBorders>
            <w:shd w:val="clear" w:color="auto" w:fill="auto"/>
            <w:vAlign w:val="center"/>
            <w:hideMark/>
          </w:tcPr>
          <w:p w14:paraId="02260CF2"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3.3</w:t>
            </w:r>
          </w:p>
        </w:tc>
        <w:tc>
          <w:tcPr>
            <w:tcW w:w="583" w:type="pct"/>
            <w:tcBorders>
              <w:top w:val="single" w:sz="8" w:space="0" w:color="auto"/>
              <w:left w:val="single" w:sz="18" w:space="0" w:color="auto"/>
              <w:bottom w:val="single" w:sz="18" w:space="0" w:color="auto"/>
              <w:right w:val="single" w:sz="8" w:space="0" w:color="auto"/>
            </w:tcBorders>
            <w:shd w:val="clear" w:color="auto" w:fill="auto"/>
            <w:vAlign w:val="center"/>
            <w:hideMark/>
          </w:tcPr>
          <w:p w14:paraId="08CB618E"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16.9</w:t>
            </w:r>
          </w:p>
        </w:tc>
        <w:tc>
          <w:tcPr>
            <w:tcW w:w="583" w:type="pct"/>
            <w:tcBorders>
              <w:top w:val="single" w:sz="8" w:space="0" w:color="auto"/>
              <w:left w:val="single" w:sz="8" w:space="0" w:color="auto"/>
              <w:bottom w:val="single" w:sz="18" w:space="0" w:color="auto"/>
              <w:right w:val="single" w:sz="18" w:space="0" w:color="auto"/>
            </w:tcBorders>
            <w:shd w:val="clear" w:color="auto" w:fill="auto"/>
            <w:vAlign w:val="center"/>
            <w:hideMark/>
          </w:tcPr>
          <w:p w14:paraId="7D6A3C8E"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8E000C">
              <w:rPr>
                <w:rFonts w:ascii="Times New Roman" w:eastAsia="Times New Roman" w:hAnsi="Times New Roman" w:cs="Times New Roman"/>
                <w:color w:val="000000"/>
                <w:w w:val="100"/>
                <w:sz w:val="24"/>
                <w:szCs w:val="24"/>
                <w:lang w:eastAsia="lv-LV"/>
              </w:rPr>
              <w:t>7.6</w:t>
            </w:r>
          </w:p>
        </w:tc>
        <w:tc>
          <w:tcPr>
            <w:tcW w:w="583" w:type="pct"/>
            <w:tcBorders>
              <w:top w:val="single" w:sz="8" w:space="0" w:color="auto"/>
              <w:left w:val="single" w:sz="18" w:space="0" w:color="auto"/>
              <w:bottom w:val="single" w:sz="18" w:space="0" w:color="auto"/>
              <w:right w:val="single" w:sz="8" w:space="0" w:color="auto"/>
            </w:tcBorders>
            <w:vAlign w:val="center"/>
          </w:tcPr>
          <w:p w14:paraId="6FA21EB7"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0C08B8">
              <w:rPr>
                <w:rFonts w:ascii="Times New Roman" w:hAnsi="Times New Roman" w:cs="Times New Roman"/>
                <w:color w:val="000000" w:themeColor="text1"/>
                <w:w w:val="100"/>
                <w:sz w:val="24"/>
                <w:szCs w:val="24"/>
              </w:rPr>
              <w:t>16,5</w:t>
            </w:r>
          </w:p>
        </w:tc>
        <w:tc>
          <w:tcPr>
            <w:tcW w:w="582" w:type="pct"/>
            <w:tcBorders>
              <w:top w:val="single" w:sz="8" w:space="0" w:color="auto"/>
              <w:left w:val="single" w:sz="8" w:space="0" w:color="auto"/>
              <w:bottom w:val="single" w:sz="18" w:space="0" w:color="auto"/>
              <w:right w:val="single" w:sz="18" w:space="0" w:color="auto"/>
            </w:tcBorders>
            <w:vAlign w:val="center"/>
          </w:tcPr>
          <w:p w14:paraId="39814F3D" w14:textId="77777777" w:rsidR="00B105FB" w:rsidRPr="008E000C" w:rsidRDefault="00B105FB" w:rsidP="00980F75">
            <w:pPr>
              <w:spacing w:after="0"/>
              <w:jc w:val="center"/>
              <w:rPr>
                <w:rFonts w:ascii="Times New Roman" w:eastAsia="Times New Roman" w:hAnsi="Times New Roman" w:cs="Times New Roman"/>
                <w:color w:val="000000"/>
                <w:w w:val="100"/>
                <w:sz w:val="24"/>
                <w:szCs w:val="24"/>
                <w:lang w:eastAsia="lv-LV"/>
              </w:rPr>
            </w:pPr>
            <w:r w:rsidRPr="000C08B8">
              <w:rPr>
                <w:rFonts w:ascii="Times New Roman" w:hAnsi="Times New Roman" w:cs="Times New Roman"/>
                <w:color w:val="000000" w:themeColor="text1"/>
                <w:w w:val="100"/>
                <w:sz w:val="24"/>
                <w:szCs w:val="24"/>
              </w:rPr>
              <w:t>6,5</w:t>
            </w:r>
          </w:p>
        </w:tc>
      </w:tr>
    </w:tbl>
    <w:p w14:paraId="4156842D" w14:textId="77777777" w:rsidR="00B105FB" w:rsidRPr="0072242C" w:rsidRDefault="00B105FB" w:rsidP="00B105FB">
      <w:pPr>
        <w:tabs>
          <w:tab w:val="left" w:pos="322"/>
          <w:tab w:val="left" w:pos="3334"/>
          <w:tab w:val="left" w:pos="4060"/>
          <w:tab w:val="left" w:pos="4786"/>
          <w:tab w:val="left" w:pos="5512"/>
        </w:tabs>
        <w:spacing w:after="0" w:line="276" w:lineRule="auto"/>
        <w:jc w:val="both"/>
        <w:rPr>
          <w:rFonts w:ascii="Times New Roman" w:hAnsi="Times New Roman" w:cs="Times New Roman"/>
          <w:color w:val="000000" w:themeColor="text1"/>
          <w:w w:val="100"/>
          <w:sz w:val="20"/>
          <w:szCs w:val="20"/>
        </w:rPr>
      </w:pPr>
      <w:r w:rsidRPr="0072242C">
        <w:rPr>
          <w:rFonts w:ascii="Times New Roman" w:hAnsi="Times New Roman" w:cs="Times New Roman"/>
          <w:i/>
          <w:iCs/>
          <w:color w:val="000000" w:themeColor="text1"/>
          <w:w w:val="100"/>
          <w:sz w:val="20"/>
          <w:szCs w:val="20"/>
        </w:rPr>
        <w:t>*pēc CSP 2022. gada 20. oktobra datu revīzijas</w:t>
      </w:r>
    </w:p>
    <w:p w14:paraId="2F199195" w14:textId="77777777" w:rsidR="00B105FB" w:rsidRPr="0072242C" w:rsidRDefault="00B105FB" w:rsidP="00B105FB">
      <w:pPr>
        <w:tabs>
          <w:tab w:val="left" w:pos="322"/>
          <w:tab w:val="left" w:pos="3334"/>
          <w:tab w:val="left" w:pos="4060"/>
          <w:tab w:val="left" w:pos="4786"/>
          <w:tab w:val="left" w:pos="5512"/>
        </w:tabs>
        <w:spacing w:after="0" w:line="276" w:lineRule="auto"/>
        <w:jc w:val="both"/>
        <w:rPr>
          <w:rFonts w:ascii="Times New Roman" w:hAnsi="Times New Roman" w:cs="Times New Roman"/>
          <w:i/>
          <w:color w:val="000000" w:themeColor="text1"/>
          <w:w w:val="100"/>
          <w:sz w:val="20"/>
          <w:szCs w:val="20"/>
        </w:rPr>
      </w:pPr>
      <w:r w:rsidRPr="0072242C">
        <w:rPr>
          <w:rFonts w:ascii="Times New Roman" w:hAnsi="Times New Roman" w:cs="Times New Roman"/>
          <w:i/>
          <w:color w:val="000000" w:themeColor="text1"/>
          <w:w w:val="100"/>
          <w:sz w:val="20"/>
          <w:szCs w:val="20"/>
        </w:rPr>
        <w:t>p-prognoze</w:t>
      </w:r>
    </w:p>
    <w:p w14:paraId="02F2D5CD" w14:textId="77777777" w:rsidR="00B105FB" w:rsidRPr="000C08B8" w:rsidRDefault="00B105FB" w:rsidP="00B105FB">
      <w:pPr>
        <w:tabs>
          <w:tab w:val="left" w:pos="322"/>
          <w:tab w:val="left" w:pos="3334"/>
          <w:tab w:val="left" w:pos="4060"/>
          <w:tab w:val="left" w:pos="4786"/>
          <w:tab w:val="left" w:pos="5512"/>
        </w:tabs>
        <w:spacing w:after="0" w:line="276" w:lineRule="auto"/>
        <w:jc w:val="both"/>
        <w:rPr>
          <w:rFonts w:ascii="Times New Roman" w:hAnsi="Times New Roman" w:cs="Times New Roman"/>
          <w:i/>
          <w:iCs/>
          <w:color w:val="000000" w:themeColor="text1"/>
          <w:w w:val="100"/>
          <w:sz w:val="24"/>
          <w:szCs w:val="24"/>
        </w:rPr>
      </w:pPr>
    </w:p>
    <w:p w14:paraId="5206EC2C" w14:textId="77777777" w:rsidR="00B105FB" w:rsidRPr="008E000C" w:rsidRDefault="00B105FB" w:rsidP="008E000C">
      <w:pPr>
        <w:spacing w:after="0" w:line="276" w:lineRule="auto"/>
        <w:ind w:left="142" w:firstLine="720"/>
        <w:jc w:val="both"/>
        <w:rPr>
          <w:rFonts w:ascii="Times New Roman" w:hAnsi="Times New Roman" w:cs="Times New Roman"/>
          <w:bCs/>
          <w:color w:val="000000" w:themeColor="text1"/>
          <w:sz w:val="24"/>
          <w:szCs w:val="24"/>
        </w:rPr>
      </w:pPr>
    </w:p>
    <w:sectPr w:rsidR="00B105FB" w:rsidRPr="008E000C" w:rsidSect="00DC344A">
      <w:headerReference w:type="default" r:id="rId8"/>
      <w:headerReference w:type="first" r:id="rId9"/>
      <w:pgSz w:w="11906" w:h="16838"/>
      <w:pgMar w:top="1134" w:right="1134" w:bottom="851" w:left="153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4AF6D3" w14:textId="77777777" w:rsidR="00D659F7" w:rsidRDefault="00D659F7" w:rsidP="00DC344A">
      <w:pPr>
        <w:spacing w:after="0"/>
      </w:pPr>
      <w:r>
        <w:separator/>
      </w:r>
    </w:p>
  </w:endnote>
  <w:endnote w:type="continuationSeparator" w:id="0">
    <w:p w14:paraId="4E88D6E5" w14:textId="77777777" w:rsidR="00D659F7" w:rsidRDefault="00D659F7" w:rsidP="00DC344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4000ACFF" w:usb2="00000001" w:usb3="00000000" w:csb0="000001FF" w:csb1="00000000"/>
  </w:font>
  <w:font w:name="Segoe UI Light">
    <w:panose1 w:val="020B0502040204020203"/>
    <w:charset w:val="BA"/>
    <w:family w:val="swiss"/>
    <w:pitch w:val="variable"/>
    <w:sig w:usb0="E4002EFF" w:usb1="C000E47F"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16064F" w14:textId="77777777" w:rsidR="00D659F7" w:rsidRDefault="00D659F7" w:rsidP="00DC344A">
      <w:pPr>
        <w:spacing w:after="0"/>
      </w:pPr>
      <w:r>
        <w:separator/>
      </w:r>
    </w:p>
  </w:footnote>
  <w:footnote w:type="continuationSeparator" w:id="0">
    <w:p w14:paraId="62C5016C" w14:textId="77777777" w:rsidR="00D659F7" w:rsidRDefault="00D659F7" w:rsidP="00DC344A">
      <w:pPr>
        <w:spacing w:after="0"/>
      </w:pPr>
      <w:r>
        <w:continuationSeparator/>
      </w:r>
    </w:p>
  </w:footnote>
  <w:footnote w:id="1">
    <w:p w14:paraId="152E168E" w14:textId="77007801" w:rsidR="00F77006" w:rsidRPr="00F77006" w:rsidRDefault="00F77006">
      <w:pPr>
        <w:pStyle w:val="FootnoteText"/>
        <w:rPr>
          <w:rFonts w:ascii="Times New Roman" w:hAnsi="Times New Roman" w:cs="Times New Roman"/>
        </w:rPr>
      </w:pPr>
      <w:r w:rsidRPr="00F77006">
        <w:rPr>
          <w:rStyle w:val="FootnoteReference"/>
          <w:rFonts w:ascii="Times New Roman" w:hAnsi="Times New Roman" w:cs="Times New Roman"/>
        </w:rPr>
        <w:footnoteRef/>
      </w:r>
      <w:r w:rsidRPr="00F77006">
        <w:rPr>
          <w:rFonts w:ascii="Times New Roman" w:hAnsi="Times New Roman" w:cs="Times New Roman"/>
        </w:rPr>
        <w:t xml:space="preserve"> Ekonomikas ministrijas un Finanšu ministrijas sniegtā informācija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4858611"/>
      <w:docPartObj>
        <w:docPartGallery w:val="Page Numbers (Top of Page)"/>
        <w:docPartUnique/>
      </w:docPartObj>
    </w:sdtPr>
    <w:sdtEndPr>
      <w:rPr>
        <w:rFonts w:ascii="Times New Roman" w:hAnsi="Times New Roman" w:cs="Times New Roman"/>
        <w:noProof/>
        <w:sz w:val="24"/>
        <w:szCs w:val="24"/>
      </w:rPr>
    </w:sdtEndPr>
    <w:sdtContent>
      <w:p w14:paraId="6CCC3DDC" w14:textId="063E9746" w:rsidR="00DC344A" w:rsidRPr="00DC344A" w:rsidRDefault="00DC344A">
        <w:pPr>
          <w:pStyle w:val="Header"/>
          <w:jc w:val="center"/>
          <w:rPr>
            <w:rFonts w:ascii="Times New Roman" w:hAnsi="Times New Roman" w:cs="Times New Roman"/>
            <w:sz w:val="24"/>
            <w:szCs w:val="24"/>
          </w:rPr>
        </w:pPr>
        <w:r w:rsidRPr="00DC344A">
          <w:rPr>
            <w:rFonts w:ascii="Times New Roman" w:hAnsi="Times New Roman" w:cs="Times New Roman"/>
            <w:sz w:val="24"/>
            <w:szCs w:val="24"/>
          </w:rPr>
          <w:fldChar w:fldCharType="begin"/>
        </w:r>
        <w:r w:rsidRPr="00DC344A">
          <w:rPr>
            <w:rFonts w:ascii="Times New Roman" w:hAnsi="Times New Roman" w:cs="Times New Roman"/>
            <w:sz w:val="24"/>
            <w:szCs w:val="24"/>
          </w:rPr>
          <w:instrText xml:space="preserve"> PAGE   \* MERGEFORMAT </w:instrText>
        </w:r>
        <w:r w:rsidRPr="00DC344A">
          <w:rPr>
            <w:rFonts w:ascii="Times New Roman" w:hAnsi="Times New Roman" w:cs="Times New Roman"/>
            <w:sz w:val="24"/>
            <w:szCs w:val="24"/>
          </w:rPr>
          <w:fldChar w:fldCharType="separate"/>
        </w:r>
        <w:r w:rsidRPr="00DC344A">
          <w:rPr>
            <w:rFonts w:ascii="Times New Roman" w:hAnsi="Times New Roman" w:cs="Times New Roman"/>
            <w:noProof/>
            <w:sz w:val="24"/>
            <w:szCs w:val="24"/>
          </w:rPr>
          <w:t>2</w:t>
        </w:r>
        <w:r w:rsidRPr="00DC344A">
          <w:rPr>
            <w:rFonts w:ascii="Times New Roman" w:hAnsi="Times New Roman" w:cs="Times New Roman"/>
            <w:noProof/>
            <w:sz w:val="24"/>
            <w:szCs w:val="24"/>
          </w:rPr>
          <w:fldChar w:fldCharType="end"/>
        </w:r>
      </w:p>
    </w:sdtContent>
  </w:sdt>
  <w:p w14:paraId="33DDEEB8" w14:textId="77777777" w:rsidR="00DC344A" w:rsidRDefault="00DC34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BA4E75" w14:textId="77777777" w:rsidR="00853CD3" w:rsidRPr="00853CD3" w:rsidRDefault="00853CD3" w:rsidP="00853CD3">
    <w:pPr>
      <w:spacing w:after="0"/>
      <w:jc w:val="right"/>
      <w:rPr>
        <w:rFonts w:ascii="Times New Roman" w:hAnsi="Times New Roman" w:cs="Times New Roman"/>
        <w:w w:val="100"/>
        <w:sz w:val="24"/>
        <w:szCs w:val="24"/>
      </w:rPr>
    </w:pPr>
    <w:r w:rsidRPr="00853CD3">
      <w:rPr>
        <w:rFonts w:ascii="Times New Roman" w:hAnsi="Times New Roman" w:cs="Times New Roman"/>
        <w:sz w:val="24"/>
        <w:szCs w:val="24"/>
      </w:rPr>
      <w:t>Pielikums Nr.1</w:t>
    </w:r>
  </w:p>
  <w:p w14:paraId="40607EE0" w14:textId="77777777" w:rsidR="00853CD3" w:rsidRPr="00853CD3" w:rsidRDefault="00853CD3" w:rsidP="00853CD3">
    <w:pPr>
      <w:spacing w:after="0"/>
      <w:jc w:val="right"/>
      <w:rPr>
        <w:rFonts w:ascii="Times New Roman" w:hAnsi="Times New Roman" w:cs="Times New Roman"/>
        <w:sz w:val="24"/>
        <w:szCs w:val="24"/>
      </w:rPr>
    </w:pPr>
    <w:r w:rsidRPr="00853CD3">
      <w:rPr>
        <w:rFonts w:ascii="Times New Roman" w:hAnsi="Times New Roman" w:cs="Times New Roman"/>
        <w:sz w:val="24"/>
        <w:szCs w:val="24"/>
      </w:rPr>
      <w:t>Ministru kabineta noteikumu projekta</w:t>
    </w:r>
  </w:p>
  <w:p w14:paraId="50F01CD6" w14:textId="77777777" w:rsidR="00853CD3" w:rsidRPr="00853CD3" w:rsidRDefault="00853CD3" w:rsidP="00853CD3">
    <w:pPr>
      <w:spacing w:after="0"/>
      <w:jc w:val="right"/>
      <w:rPr>
        <w:rFonts w:ascii="Times New Roman" w:hAnsi="Times New Roman" w:cs="Times New Roman"/>
        <w:b/>
        <w:sz w:val="24"/>
        <w:szCs w:val="24"/>
      </w:rPr>
    </w:pPr>
    <w:r w:rsidRPr="00853CD3">
      <w:rPr>
        <w:rFonts w:ascii="Times New Roman" w:hAnsi="Times New Roman" w:cs="Times New Roman"/>
        <w:b/>
        <w:sz w:val="24"/>
        <w:szCs w:val="24"/>
      </w:rPr>
      <w:t xml:space="preserve">„Grozījums Ministru kabineta 2015.gada 24.novembra noteikumos Nr.656 </w:t>
    </w:r>
  </w:p>
  <w:p w14:paraId="268F16D5" w14:textId="77777777" w:rsidR="00853CD3" w:rsidRPr="00853CD3" w:rsidRDefault="00853CD3" w:rsidP="00853CD3">
    <w:pPr>
      <w:spacing w:after="0"/>
      <w:jc w:val="right"/>
      <w:rPr>
        <w:rFonts w:ascii="Times New Roman" w:hAnsi="Times New Roman" w:cs="Times New Roman"/>
        <w:b/>
        <w:sz w:val="24"/>
        <w:szCs w:val="24"/>
      </w:rPr>
    </w:pPr>
    <w:r w:rsidRPr="00853CD3">
      <w:rPr>
        <w:rFonts w:ascii="Times New Roman" w:hAnsi="Times New Roman" w:cs="Times New Roman"/>
        <w:b/>
        <w:sz w:val="24"/>
        <w:szCs w:val="24"/>
      </w:rPr>
      <w:t xml:space="preserve">„Noteikumi par minimālās mēneša darba algas apmēru normālā darba </w:t>
    </w:r>
  </w:p>
  <w:p w14:paraId="5A6BC218" w14:textId="77777777" w:rsidR="00853CD3" w:rsidRPr="00853CD3" w:rsidRDefault="00853CD3" w:rsidP="00853CD3">
    <w:pPr>
      <w:spacing w:after="0"/>
      <w:jc w:val="right"/>
      <w:rPr>
        <w:rFonts w:ascii="Times New Roman" w:hAnsi="Times New Roman" w:cs="Times New Roman"/>
        <w:b/>
        <w:sz w:val="24"/>
        <w:szCs w:val="24"/>
      </w:rPr>
    </w:pPr>
    <w:r w:rsidRPr="00853CD3">
      <w:rPr>
        <w:rFonts w:ascii="Times New Roman" w:hAnsi="Times New Roman" w:cs="Times New Roman"/>
        <w:b/>
        <w:sz w:val="24"/>
        <w:szCs w:val="24"/>
      </w:rPr>
      <w:t>laika ietvaros un minimālās stundas tarifa likmes aprēķināšanu””</w:t>
    </w:r>
  </w:p>
  <w:p w14:paraId="7301EEF4" w14:textId="77777777" w:rsidR="00853CD3" w:rsidRPr="00853CD3" w:rsidRDefault="00853CD3" w:rsidP="00853CD3">
    <w:pPr>
      <w:spacing w:after="0"/>
      <w:jc w:val="right"/>
      <w:rPr>
        <w:rFonts w:ascii="Times New Roman" w:hAnsi="Times New Roman" w:cs="Times New Roman"/>
        <w:sz w:val="24"/>
        <w:szCs w:val="24"/>
      </w:rPr>
    </w:pPr>
    <w:r w:rsidRPr="00853CD3">
      <w:rPr>
        <w:rFonts w:ascii="Times New Roman" w:hAnsi="Times New Roman" w:cs="Times New Roman"/>
        <w:sz w:val="24"/>
        <w:szCs w:val="24"/>
      </w:rPr>
      <w:t>sākotnējās ietekmes novērtējuma ziņojumam (anotācijai)</w:t>
    </w:r>
  </w:p>
  <w:p w14:paraId="5B6E6551" w14:textId="77777777" w:rsidR="00853CD3" w:rsidRDefault="00853C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B441DF"/>
    <w:multiLevelType w:val="hybridMultilevel"/>
    <w:tmpl w:val="71B009B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5D0"/>
    <w:rsid w:val="00005E4F"/>
    <w:rsid w:val="000C08B8"/>
    <w:rsid w:val="00124628"/>
    <w:rsid w:val="00191331"/>
    <w:rsid w:val="001B0DC7"/>
    <w:rsid w:val="00211DE0"/>
    <w:rsid w:val="00327908"/>
    <w:rsid w:val="00353039"/>
    <w:rsid w:val="0038422B"/>
    <w:rsid w:val="003D6F15"/>
    <w:rsid w:val="00405D6B"/>
    <w:rsid w:val="00425015"/>
    <w:rsid w:val="00462C67"/>
    <w:rsid w:val="00566A76"/>
    <w:rsid w:val="005B0E55"/>
    <w:rsid w:val="006A35D0"/>
    <w:rsid w:val="0072242C"/>
    <w:rsid w:val="007F701E"/>
    <w:rsid w:val="00853CD3"/>
    <w:rsid w:val="008B4FC7"/>
    <w:rsid w:val="008E000C"/>
    <w:rsid w:val="00B105FB"/>
    <w:rsid w:val="00B10D4B"/>
    <w:rsid w:val="00BA2332"/>
    <w:rsid w:val="00C32204"/>
    <w:rsid w:val="00CD05CA"/>
    <w:rsid w:val="00CE303B"/>
    <w:rsid w:val="00D659F7"/>
    <w:rsid w:val="00DC344A"/>
    <w:rsid w:val="00E57FC7"/>
    <w:rsid w:val="00E64826"/>
    <w:rsid w:val="00EE4353"/>
    <w:rsid w:val="00F05007"/>
    <w:rsid w:val="00F27CDB"/>
    <w:rsid w:val="00F7700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B2B04"/>
  <w15:chartTrackingRefBased/>
  <w15:docId w15:val="{08B62CEA-36A9-4923-9037-9B90906D2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35D0"/>
    <w:pPr>
      <w:spacing w:after="120" w:line="240" w:lineRule="auto"/>
    </w:pPr>
    <w:rPr>
      <w:rFonts w:ascii="Segoe UI Light" w:hAnsi="Segoe UI Light"/>
      <w:w w:val="90"/>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ColorfulGrid">
    <w:name w:val="Colorful Grid"/>
    <w:basedOn w:val="TableNormal"/>
    <w:uiPriority w:val="73"/>
    <w:rsid w:val="006A35D0"/>
    <w:pPr>
      <w:spacing w:after="0" w:line="240" w:lineRule="auto"/>
    </w:pPr>
    <w:rPr>
      <w:rFonts w:ascii="Calibri" w:hAnsi="Calibri"/>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styleId="Strong">
    <w:name w:val="Strong"/>
    <w:basedOn w:val="DefaultParagraphFont"/>
    <w:uiPriority w:val="22"/>
    <w:qFormat/>
    <w:rsid w:val="006A35D0"/>
    <w:rPr>
      <w:b/>
      <w:bCs/>
    </w:rPr>
  </w:style>
  <w:style w:type="paragraph" w:styleId="NormalWeb">
    <w:name w:val="Normal (Web)"/>
    <w:basedOn w:val="Normal"/>
    <w:uiPriority w:val="99"/>
    <w:unhideWhenUsed/>
    <w:rsid w:val="006A35D0"/>
    <w:pPr>
      <w:spacing w:before="100" w:beforeAutospacing="1" w:after="100" w:afterAutospacing="1"/>
    </w:pPr>
    <w:rPr>
      <w:rFonts w:ascii="Times New Roman" w:eastAsia="Times New Roman" w:hAnsi="Times New Roman" w:cs="Times New Roman"/>
      <w:w w:val="100"/>
      <w:sz w:val="24"/>
      <w:szCs w:val="24"/>
      <w:lang w:eastAsia="lv-LV"/>
    </w:rPr>
  </w:style>
  <w:style w:type="paragraph" w:styleId="Header">
    <w:name w:val="header"/>
    <w:basedOn w:val="Normal"/>
    <w:link w:val="HeaderChar"/>
    <w:uiPriority w:val="99"/>
    <w:unhideWhenUsed/>
    <w:rsid w:val="00DC344A"/>
    <w:pPr>
      <w:tabs>
        <w:tab w:val="center" w:pos="4153"/>
        <w:tab w:val="right" w:pos="8306"/>
      </w:tabs>
      <w:spacing w:after="0"/>
    </w:pPr>
  </w:style>
  <w:style w:type="character" w:customStyle="1" w:styleId="HeaderChar">
    <w:name w:val="Header Char"/>
    <w:basedOn w:val="DefaultParagraphFont"/>
    <w:link w:val="Header"/>
    <w:uiPriority w:val="99"/>
    <w:rsid w:val="00DC344A"/>
    <w:rPr>
      <w:rFonts w:ascii="Segoe UI Light" w:hAnsi="Segoe UI Light"/>
      <w:w w:val="90"/>
      <w:sz w:val="16"/>
    </w:rPr>
  </w:style>
  <w:style w:type="paragraph" w:styleId="Footer">
    <w:name w:val="footer"/>
    <w:basedOn w:val="Normal"/>
    <w:link w:val="FooterChar"/>
    <w:uiPriority w:val="99"/>
    <w:unhideWhenUsed/>
    <w:rsid w:val="00DC344A"/>
    <w:pPr>
      <w:tabs>
        <w:tab w:val="center" w:pos="4153"/>
        <w:tab w:val="right" w:pos="8306"/>
      </w:tabs>
      <w:spacing w:after="0"/>
    </w:pPr>
  </w:style>
  <w:style w:type="character" w:customStyle="1" w:styleId="FooterChar">
    <w:name w:val="Footer Char"/>
    <w:basedOn w:val="DefaultParagraphFont"/>
    <w:link w:val="Footer"/>
    <w:uiPriority w:val="99"/>
    <w:rsid w:val="00DC344A"/>
    <w:rPr>
      <w:rFonts w:ascii="Segoe UI Light" w:hAnsi="Segoe UI Light"/>
      <w:w w:val="90"/>
      <w:sz w:val="16"/>
    </w:rPr>
  </w:style>
  <w:style w:type="character" w:styleId="CommentReference">
    <w:name w:val="annotation reference"/>
    <w:basedOn w:val="DefaultParagraphFont"/>
    <w:uiPriority w:val="99"/>
    <w:semiHidden/>
    <w:unhideWhenUsed/>
    <w:rsid w:val="0072242C"/>
    <w:rPr>
      <w:sz w:val="16"/>
      <w:szCs w:val="16"/>
    </w:rPr>
  </w:style>
  <w:style w:type="paragraph" w:styleId="CommentText">
    <w:name w:val="annotation text"/>
    <w:basedOn w:val="Normal"/>
    <w:link w:val="CommentTextChar"/>
    <w:uiPriority w:val="99"/>
    <w:semiHidden/>
    <w:unhideWhenUsed/>
    <w:rsid w:val="0072242C"/>
    <w:rPr>
      <w:sz w:val="20"/>
      <w:szCs w:val="20"/>
    </w:rPr>
  </w:style>
  <w:style w:type="character" w:customStyle="1" w:styleId="CommentTextChar">
    <w:name w:val="Comment Text Char"/>
    <w:basedOn w:val="DefaultParagraphFont"/>
    <w:link w:val="CommentText"/>
    <w:uiPriority w:val="99"/>
    <w:semiHidden/>
    <w:rsid w:val="0072242C"/>
    <w:rPr>
      <w:rFonts w:ascii="Segoe UI Light" w:hAnsi="Segoe UI Light"/>
      <w:w w:val="90"/>
      <w:sz w:val="20"/>
      <w:szCs w:val="20"/>
    </w:rPr>
  </w:style>
  <w:style w:type="paragraph" w:styleId="CommentSubject">
    <w:name w:val="annotation subject"/>
    <w:basedOn w:val="CommentText"/>
    <w:next w:val="CommentText"/>
    <w:link w:val="CommentSubjectChar"/>
    <w:uiPriority w:val="99"/>
    <w:semiHidden/>
    <w:unhideWhenUsed/>
    <w:rsid w:val="0072242C"/>
    <w:rPr>
      <w:b/>
      <w:bCs/>
    </w:rPr>
  </w:style>
  <w:style w:type="character" w:customStyle="1" w:styleId="CommentSubjectChar">
    <w:name w:val="Comment Subject Char"/>
    <w:basedOn w:val="CommentTextChar"/>
    <w:link w:val="CommentSubject"/>
    <w:uiPriority w:val="99"/>
    <w:semiHidden/>
    <w:rsid w:val="0072242C"/>
    <w:rPr>
      <w:rFonts w:ascii="Segoe UI Light" w:hAnsi="Segoe UI Light"/>
      <w:b/>
      <w:bCs/>
      <w:w w:val="90"/>
      <w:sz w:val="20"/>
      <w:szCs w:val="20"/>
    </w:rPr>
  </w:style>
  <w:style w:type="paragraph" w:styleId="BalloonText">
    <w:name w:val="Balloon Text"/>
    <w:basedOn w:val="Normal"/>
    <w:link w:val="BalloonTextChar"/>
    <w:uiPriority w:val="99"/>
    <w:semiHidden/>
    <w:unhideWhenUsed/>
    <w:rsid w:val="0072242C"/>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42C"/>
    <w:rPr>
      <w:rFonts w:ascii="Segoe UI" w:hAnsi="Segoe UI" w:cs="Segoe UI"/>
      <w:w w:val="90"/>
      <w:sz w:val="18"/>
      <w:szCs w:val="18"/>
    </w:rPr>
  </w:style>
  <w:style w:type="paragraph" w:styleId="FootnoteText">
    <w:name w:val="footnote text"/>
    <w:basedOn w:val="Normal"/>
    <w:link w:val="FootnoteTextChar"/>
    <w:uiPriority w:val="99"/>
    <w:semiHidden/>
    <w:unhideWhenUsed/>
    <w:rsid w:val="00F77006"/>
    <w:pPr>
      <w:spacing w:after="0"/>
    </w:pPr>
    <w:rPr>
      <w:sz w:val="20"/>
      <w:szCs w:val="20"/>
    </w:rPr>
  </w:style>
  <w:style w:type="character" w:customStyle="1" w:styleId="FootnoteTextChar">
    <w:name w:val="Footnote Text Char"/>
    <w:basedOn w:val="DefaultParagraphFont"/>
    <w:link w:val="FootnoteText"/>
    <w:uiPriority w:val="99"/>
    <w:semiHidden/>
    <w:rsid w:val="00F77006"/>
    <w:rPr>
      <w:rFonts w:ascii="Segoe UI Light" w:hAnsi="Segoe UI Light"/>
      <w:w w:val="90"/>
      <w:sz w:val="20"/>
      <w:szCs w:val="20"/>
    </w:rPr>
  </w:style>
  <w:style w:type="character" w:styleId="FootnoteReference">
    <w:name w:val="footnote reference"/>
    <w:basedOn w:val="DefaultParagraphFont"/>
    <w:uiPriority w:val="99"/>
    <w:semiHidden/>
    <w:unhideWhenUsed/>
    <w:rsid w:val="00F7700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6280096">
      <w:bodyDiv w:val="1"/>
      <w:marLeft w:val="0"/>
      <w:marRight w:val="0"/>
      <w:marTop w:val="0"/>
      <w:marBottom w:val="0"/>
      <w:divBdr>
        <w:top w:val="none" w:sz="0" w:space="0" w:color="auto"/>
        <w:left w:val="none" w:sz="0" w:space="0" w:color="auto"/>
        <w:bottom w:val="none" w:sz="0" w:space="0" w:color="auto"/>
        <w:right w:val="none" w:sz="0" w:space="0" w:color="auto"/>
      </w:divBdr>
    </w:div>
    <w:div w:id="1299337227">
      <w:bodyDiv w:val="1"/>
      <w:marLeft w:val="0"/>
      <w:marRight w:val="0"/>
      <w:marTop w:val="0"/>
      <w:marBottom w:val="0"/>
      <w:divBdr>
        <w:top w:val="none" w:sz="0" w:space="0" w:color="auto"/>
        <w:left w:val="none" w:sz="0" w:space="0" w:color="auto"/>
        <w:bottom w:val="none" w:sz="0" w:space="0" w:color="auto"/>
        <w:right w:val="none" w:sz="0" w:space="0" w:color="auto"/>
      </w:divBdr>
    </w:div>
    <w:div w:id="1447315547">
      <w:bodyDiv w:val="1"/>
      <w:marLeft w:val="0"/>
      <w:marRight w:val="0"/>
      <w:marTop w:val="0"/>
      <w:marBottom w:val="0"/>
      <w:divBdr>
        <w:top w:val="none" w:sz="0" w:space="0" w:color="auto"/>
        <w:left w:val="none" w:sz="0" w:space="0" w:color="auto"/>
        <w:bottom w:val="none" w:sz="0" w:space="0" w:color="auto"/>
        <w:right w:val="none" w:sz="0" w:space="0" w:color="auto"/>
      </w:divBdr>
    </w:div>
    <w:div w:id="1560900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34E1C8-907F-4D4C-84F9-0F1709016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7989</Words>
  <Characters>4554</Characters>
  <Application>Microsoft Office Word</Application>
  <DocSecurity>0</DocSecurity>
  <Lines>37</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Salmiņš</dc:creator>
  <cp:keywords/>
  <dc:description/>
  <cp:lastModifiedBy>Nora Isadžanjana-Ponomarjova</cp:lastModifiedBy>
  <cp:revision>3</cp:revision>
  <dcterms:created xsi:type="dcterms:W3CDTF">2022-11-30T07:23:00Z</dcterms:created>
  <dcterms:modified xsi:type="dcterms:W3CDTF">2022-11-30T07:30:00Z</dcterms:modified>
</cp:coreProperties>
</file>