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noteikumos veikti, lai pilnveidotu normatīvā akta uztveramību.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iekļautās normas attiecībā uz atbalsta piešķiršanu, lai tās būtu nepārprotamas atbalsta sniegšanai gala labuma guvējiem.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2022. gada 10. janvāra noteikumi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(turpmāk – 2.2.1.2.i investīcija) īstenošanas noteikumi" (turpmāk – MK noteikumi Nr.10) nosaka kārtību, kādā Latvijas Investīcijas un attīstības aģentūra nodrošina atbalstu sīkajiem (mikro), mazajiem, vidējiem, lielajiem komersantiem, biedrībām un nodibinājumiem, kas apvieno vairākus komersantus vai pārstāv to intereses, pētniecības un zināšanu izplatīšanas organizācijām procesu digitalizēšanai. Vienlaikus ir konstatētas atsevišķas normas, kas rada tiesiskā regulējuma dažādas interpretācijas riskus, kā arī nenosaka skaidrus atbalsta sniegšanas nosacījumus, atbilstoši 2.2.1.2.i. investīcijas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precizējumus tiesiskās skaidrības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Nr.10 satur dažādas interpretācijas riskus attiecībā uz Latvijas Investīciju un attīstības aģentūras atbalsta sniegšanas nosacījumiem. Neveicot grozījumus Ministru kabineta noteikumos var tikt skartas sabiedrības intereses (gala labuma guvējiem), jo esošā redakcija var radīt risku nosacījumu atšķirīgai piemērošanai un attiecīgi kavēt investīcijas apguvi atbilstoši 2.2.1.2.i.  investīcijas paredzētajam mērķim un būtībai, kā arī tiesiskā regulējuma nesakārtošana var radīt sekas 2.2.1.2.i.  investīcijas rādītāju sasniegšanā un izmaksu neattiecināšanā.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Precizēt granta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MK noteikumu Nr.10 redakcijā nav skaidri noteikts, ka Latvijas Investīcijas un attīstības aģentūra piešķir atbalstu gala labuma guvējam granta veidā, kas pēc būtības rada interpretācijas iespēju par atbalsta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MK noteikumu Nr.10 9., 38., 40., 41. punktā un 25.6. apakšpunktā tiks novērsta atbalsta piešķiršanas interpretācijas iespējas, nosakot, ka atbalsta veids ir Latvijas Investīcijas un attīstības aģentūras izsniegts grants gala labuma guvēja investīciju projekta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precizēti Latvijas Investīciju un attīstības aģentūras lēmumu par komercdarbības atbalsta piešķiršanu pieņemšanas termiņi, ņemot vērā Eiropas Komisijas 2013. gada 18. decembra Regulā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Eiropas Komisijas 2014. gada 27. jūnija Regulā (ES) Nr. 717/2014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zvejniecības un akvakultūras nozarē (turpmāk – Komisijas regula Nr. 717/2014), Eiropas Komisijas 2014. gada 27. jūnija Regulā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(turpmāk – Komisijas regula Nr. 717/2014) un Komisijas regulas (ES) Nr. 651/2014 (2014. gada 17. jūnijs), ar ko noteiktas atbalsta kategorijas atzīst par saderīgām ar iekšējo tirgu, piemērojot Līguma 107. un 108. pantu, (turpmāk - Komisijas regula Nr. 651/2014) noteiktos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Papildinātas izmaksu pozīcijas par licences iegādes izmaksu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MK noteikumu Nr.10 redakcija neparedz iespēju iegādājoties programatūru attiecināt arī licences izmaksas, lai varētu nodrošināt programmas, iekārtas vai ierīces pilnu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19.</w:t>
      </w:r>
      <w:r w:rsidR="00000000" w:rsidRPr="00000000" w:rsidDel="00000000">
        <w:rPr>
          <w:vertAlign w:val="superscript"/>
          <w:rtl w:val="0"/>
        </w:rPr>
        <w:t xml:space="preserve">1</w:t>
      </w:r>
      <w:r w:rsidR="00000000" w:rsidRPr="00000000" w:rsidDel="00000000">
        <w:rPr>
          <w:rtl w:val="0"/>
        </w:rPr>
        <w:t xml:space="preserve"> punktu tiek noteikts, ka MK noteikumu Nr. 10 ietvaros minētās licences iegādes izmaksas iespējams attiecināt ne ilgāk kā līdz  2026. gada 30. jūnijam. Licences iegādes izmaksas no Atveseļošanas fonda var attiecināt, ja tas attiecās uz konkrētās tehnoloģijas vai programmatūras ieviešanu investīcijas ietvaros. Licences darbības termiņš var būt ilgāks par 2026. gada 30. jūniju. Uz licenču iegādes izmaksām arī attiecināms MK noteikumu Nr. 10 ietvaros 25.11. apakšpunktā noteiktais par dubultā finansējuma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ietvaros gala labuma guvēja līmenī izmaksas iespējams attiecināt arī par ekspertu konsultāciju izmaksām, ievērojot MK noteikumu Nr. 10 17. punktā noteiktās prasības attiecībā uz neatbalstāmajām darbībām, sīkajam (mikro), mazajam, vidējam un lielajam komersantam, t.sk. juridiskas personas ārvalstu filiālei, zemnieku saimniecībai, kooperatīvai sabiedrībai, sociālajam uzņēmumam, kas veic saimniecisko darbību, kas ir reģistrēts Latvijas Republikā, publiskas personas kapitālsabiedrībai un biedrībai un nodibinājumam, pētniecības un zināšanu izplatīšanas organizācijai, kas atbilst Komisijas regulas Nr. 651/2014 2. panta 83. punktam, par konkrēto iekārtu, programmatūru, risinājumu uzstādīšanu vai ieviešanu, komercdarbības stratēģisko vadību digitalizācijas jomā, ievērojot MK noteikumu Nr. 10 19. un 41. 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uzņēmumi saskaņā ar Sociālā uzņēmuma likumu var būt vienīgi sabiedrības ar ierobežotu atbildību, tādēļ, ņemot vērā arī to, ka atbilstoši Noteikumu projekta 15. punktam gala labuma guvējam jāatbilst sīkā (mikro), mazā, vidējā vai lielā komersanta statusam saskaņā ar Komisijas regulas Nr. 651/2014 2. panta 24. punktā un I pielikumā noteikto, arī sociālajiem uzņēmumiem jāievēro attiecīgās prasības, lai to klasificētu kā sīko (mikro), mazo, vidējo vai lielo 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MK noteikumu Nr. 10 18.2.1. apakšpunktā iekļauta gatavo risinājumu, aparatūras, sensoru, iekārtu, programmatūras un informācijas tehnoloģiju infrastruktūras izstrādes izmaksas, ar to saprotot izstrādi, kas nav saistīta pētniecību inovatīvu risinājumu izstrādei, bet gan esošu risinājumu pielāgošanu gala labuma guvēja komercdarbības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gala labuma guvējiem nepieciešamie risinājumi ir pieejami Latvijas Republikā, Noteikumu projekts paredz iekļaut 19.</w:t>
      </w:r>
      <w:r w:rsidR="00000000" w:rsidRPr="00000000" w:rsidDel="00000000">
        <w:rPr>
          <w:vertAlign w:val="superscript"/>
          <w:rtl w:val="0"/>
        </w:rPr>
        <w:t xml:space="preserve">2</w:t>
      </w:r>
      <w:r w:rsidR="00000000" w:rsidRPr="00000000" w:rsidDel="00000000">
        <w:rPr>
          <w:rtl w:val="0"/>
        </w:rPr>
        <w:t xml:space="preserve"> punktu, kas nosaka, programmas ietvaros MK noteikumu Nr. 10 18.2. apakšpunktā minētos pakalpojumus ir iespējams iegādāties ārpus Latvijas Republikas teritorijas, vienlaikus ievērojot Atveseļošanas fonda prasības, par gala labuma jeb preču vai pakalpojuma īstenošanu gala labuma guvēja komercdarbības īstenošanas teritorijā, tas būtu Latvijas Republikā. Vienlaikus minētā norma noteikta ar Noteikumu projektu MK noteikumos Nr. 10 iekļautajā 9.</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saglabāts atbalsta programmas princips – sniegt atbalstu komercdarbības un produktivitātes paaugstināšanai gala labuma guvējiem, kas veic saimniecisko darbību, tādējādi līdz ar atbalsta piešķiršanu veicinot Latvijas konkurētspēju un tautsaimniecības kopējo izaugsmi, vienlaikus veicinot arī Atveseļošanas fonda plānā noteiktā 2.2.1.1.i. investīcijas mērķa un Padomes īstenošanas lēmumā par Latvijas Atveseļošanas un noturības plāna novērtējuma apstiprināšanu noteikto investīcijas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Precizēts nosacījums uz ārvalstu piegādātāja pakalpojuma iepirkšanu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MK noteikumu Nr.10  18.2. apakšpunktā minēto pakalpojumu nodrošināšanu gadījumā, ja tehnoloģiju risinājumu nevar iegādāties no Latvijas Republikas pakalpojuma vai tehnoloģiju sniedzēja, tad grozījumi paredz, ka pakalpojumu gala labuma guvējs var iepirkt no ārvalstu piegādātāja, nodrošinot pakalpojuma īstenošanu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Precizēts principa “nenodarīt būtisku kaitējumu” pārbaudes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12. februāra Regulu ES Nr. 2021/241, ar ko izveido Atveseļošanas un noturības mehānismu (turpmāk - Regula Nr. 2021/241) Atveseļošanas un noturības mehānisma plānā iekļautajiem pasākumiem nevajadzētu nodarīt būtisku kaitējumu sešiem vides mērķiem Eiropas Parlamenta un Padomes 2020. gada 18. jūnija Regulas (ES) Nr. 2020/852 par regulējuma izveidi ilgtspējīgu ieguldījumu veicināšanai un ar ko groza Regulu (ES) 2019/2088  17. panta nozīmē, proti, projekta iesniedzējs nodrošina, ka projekts  atbilst  principam “nenodarīt būtisku kaitējumu”. Noteikumu projektā norādītās prasības noteiktas saskaņā ar Atveseļošanas un noturības mehānisma plāna 1. pielikuma principa “nenodarīt būtisku kaitējumu” novērtējumu un tā ievērošanu saskaņā ar Eiropas Komisijas 2021.gada 18.februāra paziņojumu Nr. 2021/C58/01 “Tehniskie norādījumi par principa “nenodarīt būtisku kaitējumu” piemērošanu saskaņā ar Regulā Nr. 2021/241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atbilstību Tehniskajiem norādījumiem par principa “nenodarīt būtisku kaitējumu” ievērošanu (2021/C58/01), atbalstu nepiešķir, ja projekta pieteikumā paredzētas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darbības, kas saistītas ar fosilo kurināmo, tostarp tā pakārtotu izmantošanu, tai skaitā elektroenerģijas vai siltuma ražošanu, kā arī saistīto pārvades un sadales infrastruktūru, izmantojot dabasgāzi, kas atbilst tehnisko norādījumu “nenodarīt būtisku kaitējumu” III pielikumā izklāstītajiem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darbības, kas saistītas ar siltumnīcefekta gāzu emisiju radīšanu,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darbības, kas saistītas ar atkritumu poligoniem, izņemot gadījumus, ja gala labuma guvējs ir saņēmis atļauju šo darbību veikšanai, sadedzināšanas iekārtām un mehāniski bioloģiskās apstrādes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darbības, kas saistītas ar iekārtu un to programmatūru iegādi un nomu, kas saistīta ar atkritumu savākšanu, uzglabāšanu, apstrādi, pārstrādi un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darbības, kas kaitē ūdensobjektu labam stāvoklim vai to labam ekoloģiskajam potenciālam, ieskaitot virszemes ūdeņus un gruntsūdeņus, vai jūras ūdeņu labam vides stāvoklim,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darbības, kas kaitē aprites ekonomikai, tostarp atkritumu rašanās novēršanai un reciklēšanai, vienā vai vairākos produktu aprites cikla posmos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darbības, kas kaitē vides piesārņojuma novēršanai un kontrolei,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darbības, kas kaitē bioloģiskās daudzveidības un ekosistēmu aizsardzībai un atjaunošanai, ja minētā darbība kaitē ekosistēmu labam stāvoklim un izturētspējai, vai kaitē dzīvotņu un sugu, tostarp Eiropas Savienības nozīmes dzīvotņu un sugu, aizsardzības statusam,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darbības saskaņā ar kvotu tirdzniecības sistēmu, lai sasniegtu prognozētās CO</w:t>
      </w:r>
      <w:r w:rsidR="00000000" w:rsidRPr="00000000" w:rsidDel="00000000">
        <w:rPr>
          <w:vertAlign w:val="superscript"/>
          <w:rtl w:val="0"/>
        </w:rPr>
        <w:t xml:space="preserve">2</w:t>
      </w:r>
      <w:r w:rsidR="00000000" w:rsidRPr="00000000" w:rsidDel="00000000">
        <w:rPr>
          <w:rtl w:val="0"/>
        </w:rPr>
        <w:t xml:space="preserve">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darbības nodrošināšanai Latvijas Investīciju un attīstības aģentūrai jāpārbauda projekta darbības veids pirms līguma parakstīšanas un granta piešķiršanas gala labuma guvējam, tādējādi atbalstu projektu īstenošanai var piešķirt tikai par tādiem projektiem, kuros iekļautās darbības atbilst attiecīgajiem Eiropas Savienības un nacionālajiem normatīvajiem aktiem vides jomā. Minētā prasība ir tieši saistīta ar Padomes īstenošanas lēmumu par Latvijas Atveseļošanas un noturības plāna novērtējuma apstiprināšanu, kurā iekļautas prasības par principa “nenodarīt būtisku kaitējumu” ievērošanu digitālās transformācijas investīciju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principa “nenodarīt būtisku kaitējumu” izvērtēšanu, kuru attiecībā pret gala labuma guvēja investīciju projektu veic Latvijas Investīciju un attīstības aģentūra, nepieciešams veikt atbilstoši Komisijas paziņojumam “Tehniskie norādījumi par principa “nenodarīt būtisku kaitējumu” piemērošanu saskaņā ar Atveseļošanas un noturības mehānisma regulu” (2021/C 58/01) noteiktās pārbaudes par 1. posma ietvaros iekļautajiem vides mērķiem. Saskaņā ar Atveseļošanas un noturības mehānisma plāna 1. pielikumu “Principa Nenodarīt būtisku kaitējumu novērtējums” 2.2.1.2.i. investīcijas ietvaros nav atļautas investīciju projekta darbības, kas var radīt būtisku kaitējumu videi. Atļaujas, kas saistītas ar principa “nenodarīt būtisku kaitējumu” ietvaros noteiktajiem vides mērķiem, izsniedz atbildīgā valsts iestāde, kas nodrošina uzraudzību par vides prasību ievērošanu, piemēram, Valsts vides dienests, kompetences ietvaros veicot komersanta atbilstības izvērtēšanu atļaujas saimnieciskās darbības veikšanai saņemšanai. Tādējādi Latvijas Investīciju un attīstības aģentūrai pirms atbalsta piešķiršanas gala labuma guvējam izvērtēšanas ietvaros attiecībā uz principa “nenodarīt būtisku kaitējumu” ievērošanu nepieciešams pārliecināties, vai saimnieciskā darbība ir saistīta ar kādu no vides mērķiem un, ja darbība ir saistīta ar kādu no tiem, veicot pārbaudi Valsts vides dienesta publiskajā datu bāzē par spēkā esošas atļaujas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Skaidrota izslēgšanas kritēriju izvērtēšana gala labuma guvēju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10 noteikts, ka izslēgšanas kritēriji tiek vērtēti atbilstoši Finanšu ministrijas izstrādāto vadlīniju “Vadlīnijas informatīvā ziņojuma vai Ministru kabineta noteikumu izstrādei par Eiropas Savienības Atveseļošanas un noturības mehānisma plāna reformas vai investīcijas ieviešanu” 31. punkta nosacījumiem, kas izriet no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(turpmāk - Komisijas regula Nr. 2021/241),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un Eiropas Komisijas un Latvijas Republikas Atveseļošanas un noturības mehānisma nolīgumā ietvertajām prasībām. Normas ietveršana ir būtiska, lai novērstu tiesiskā regulējuma interpretācijas risku par Komisijas regulas Nr. 2018/1046 136. panta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ka MK noteikumu Nr. 10 ietvaros izslēgšanas kritērijus izvērtē atbilstoši Regulas Nr. 2018/1046 136. pantam un Latvijas Investīciju un attīstības aģentūra atbalstu var piešķirt gala labuma guvējam, ja tas atbilst MK noteikumu Nr. 10 34.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tas atbilst vienam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tas ir reģistrēts Latvijas Republikas Uzņēmumu reģistrā, tam ir juridiskas personas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tas ir reģistrēts Latvijas Republikas Uzņēmumu reģistra biedrību un nodibinājumu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tas ir reģistrēts publisko personu un iestāžu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tas ir reģistrēts Izglītības un zinātnes ministrijas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tas atbilst sīkā (mikro), mazā vai vidējā komersanta statusam saskaņā ar šo noteikumu 2.10. apakšpunktā vai lielā komersanta statusam saskaņā ar MK noteikumu Nr. 10 2.6.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tam saskaņā ar Valsts ieņēmumu dienesta administrēto nodokļu (nodevu) parādnieku publiskajā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uz gala labuma guvēju, izņemot MK noteikumu Nr. 10 34.1.3. apakšpunktā noteikto, nav attiecināmi šādi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gala labuma guvējs vai persona, kura ir gala labuma guvēja valdes vai padomes loceklis vai prokūrists, vai persona, kura ir pilnvarota pārstāvēt gala labuma guvēju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4.1.2. 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4.1.3.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4.1.4. izvairīšanās no nodokļu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4.1.5. 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4.1.6.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4.1.7. preču un vielu, kuru aprite ir aizliegta vai speciāli reglamentēta, pārvietošana pāri Latvijas Republikas valsts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4.1.8.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uz to attiecas tāds attiecīgā jomā kompetentas institūcijas lēmums par sodu vai tiesas spriedumu, kas stājies spēkā un kļuvis neapstrīdams un nepārsūdzams, tas ir atzīts par vainīgu un sodīts par pārkāpumu, kas izpaužas kā vienas vai vairāku personu nodarbināšana, ja tām nav nepieciešamās darba atļaujas vai ja tas nav tiesīgas uzturēties Eiropas Savienības dalībvalstī vai kā personas nodarbināšana bez rakstveidā noslēgta darba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tas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gala labuma guvēju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ir pasludināts tā maksātnespējas process, ierosināta tiesiskās aizsardzības procesa lieta vai tiek īstenots tiesiskās aizsardzības process, apturēta vai pārtraukta tā saimnieciskā darbība vai tas tiek likvidēts. Gala labuma guvējam, kas pretendē uz atbalstu saskaņā ar Komisijas regulu Nr. 651/2014, veicama pārbaude par tā neatbilstību Komisijas regulas Nr. 651/2014 2. panta 18.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 tas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izslēgšanas nosacījumu kontrole tiek veikta, tostarp pārbaudot attiecīgās personas sodāmību saskaņā ar zemāk norādītajām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02"/>
        <w:gridCol w:w="3083"/>
        <w:gridCol w:w="2905"/>
        <w:tblGridChange w:id="0">
          <w:tblGrid>
            <w:gridCol w:w="3202"/>
            <w:gridCol w:w="3083"/>
            <w:gridCol w:w="290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Personas dalības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norma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Pārbaudāmā persona, pārbaudāmās personas valdes vai padomes loceklis, prokūrists vai persona, kura ir pilnvarota pārstāvēt pārbaudāmo personu darbībās, kas saistītas ar filiāli</w:t>
            </w:r>
          </w:p>
        </w:tc>
        <w:tc>
          <w:tcPr>
            <w:shd w:fill="ffffff"/>
            <w:vAlign w:val="top"/>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Krimināllikums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1</w:t>
            </w:r>
            <w:r w:rsidR="00000000" w:rsidRPr="00000000" w:rsidDel="00000000">
              <w:rPr>
                <w:sz w:val="24"/>
                <w:rtl w:val="0"/>
              </w:rPr>
              <w:t xml:space="preserve"> pants. Terorisms</w:t>
            </w:r>
          </w:p>
        </w:tc>
      </w:tr>
      <w:tr>
        <w:tc>
          <w:tcPr>
            <w:shd w:fill="ffffff"/>
            <w:vAlign w:val="top"/>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2</w:t>
            </w:r>
            <w:r w:rsidR="00000000" w:rsidRPr="00000000" w:rsidDel="00000000">
              <w:rPr>
                <w:sz w:val="24"/>
                <w:rtl w:val="0"/>
              </w:rPr>
              <w:t xml:space="preserve"> pants. Terorisma finansēšana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3</w:t>
            </w:r>
            <w:r w:rsidR="00000000" w:rsidRPr="00000000" w:rsidDel="00000000">
              <w:rPr>
                <w:sz w:val="24"/>
                <w:rtl w:val="0"/>
              </w:rPr>
              <w:t xml:space="preserve">  pants. Teroristu grupa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4</w:t>
            </w:r>
            <w:r w:rsidR="00000000" w:rsidRPr="00000000" w:rsidDel="00000000">
              <w:rPr>
                <w:sz w:val="24"/>
                <w:rtl w:val="0"/>
              </w:rPr>
              <w:t xml:space="preserve"> pants. Personas vervēšana, apmācīšana un apmācīšanās terorismam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5</w:t>
            </w:r>
            <w:r w:rsidR="00000000" w:rsidRPr="00000000" w:rsidDel="00000000">
              <w:rPr>
                <w:sz w:val="24"/>
                <w:rtl w:val="0"/>
              </w:rPr>
              <w:t xml:space="preserve"> pants. Ceļošana terorisma nolūkā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6</w:t>
            </w:r>
            <w:r w:rsidR="00000000" w:rsidRPr="00000000" w:rsidDel="00000000">
              <w:rPr>
                <w:sz w:val="24"/>
                <w:rtl w:val="0"/>
              </w:rPr>
              <w:t xml:space="preserve"> pants. Terorisma attaisnošana, aicinājums uz terorismu un terorisma draudi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r w:rsidR="00000000" w:rsidRPr="00000000" w:rsidDel="00000000">
              <w:rPr>
                <w:sz w:val="24"/>
                <w:vertAlign w:val="superscript"/>
                <w:rtl w:val="0"/>
              </w:rPr>
              <w:t xml:space="preserve">1</w:t>
            </w:r>
            <w:r w:rsidR="00000000" w:rsidRPr="00000000" w:rsidDel="00000000">
              <w:rPr>
                <w:sz w:val="24"/>
                <w:rtl w:val="0"/>
              </w:rPr>
              <w:t xml:space="preserve"> pants. Noziedzīga organizācija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r w:rsidR="00000000" w:rsidRPr="00000000" w:rsidDel="00000000">
              <w:rPr>
                <w:sz w:val="24"/>
                <w:vertAlign w:val="superscript"/>
                <w:rtl w:val="0"/>
              </w:rPr>
              <w:t xml:space="preserve">1 </w:t>
            </w:r>
            <w:r w:rsidR="00000000" w:rsidRPr="00000000" w:rsidDel="00000000">
              <w:rPr>
                <w:sz w:val="24"/>
                <w:rtl w:val="0"/>
              </w:rPr>
              <w:t xml:space="preserve">pants. Cilvēku tirdzniecība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pants.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w:t>
            </w:r>
            <w:r w:rsidR="00000000" w:rsidRPr="00000000" w:rsidDel="00000000">
              <w:rPr>
                <w:sz w:val="24"/>
                <w:vertAlign w:val="superscript"/>
                <w:rtl w:val="0"/>
              </w:rPr>
              <w:t xml:space="preserve">1</w:t>
            </w:r>
            <w:r w:rsidR="00000000" w:rsidRPr="00000000" w:rsidDel="00000000">
              <w:rPr>
                <w:sz w:val="24"/>
                <w:rtl w:val="0"/>
              </w:rPr>
              <w:t xml:space="preserve"> pants. Krāpšana automatizētā datu apstrādes sistēmā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178. pants. Apdrošināšanas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 pants.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184.pants trešā daļa. Izspiešana organizētā grupā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w:t>
            </w:r>
            <w:r w:rsidR="00000000" w:rsidRPr="00000000" w:rsidDel="00000000">
              <w:rPr>
                <w:sz w:val="24"/>
                <w:vertAlign w:val="superscript"/>
                <w:rtl w:val="0"/>
              </w:rPr>
              <w:t xml:space="preserve">1</w:t>
            </w:r>
            <w:r w:rsidR="00000000" w:rsidRPr="00000000" w:rsidDel="00000000">
              <w:rPr>
                <w:sz w:val="24"/>
                <w:rtl w:val="0"/>
              </w:rPr>
              <w:t xml:space="preserve"> pants. Preču un vielu, kuru aprite ir aizliegta vai speciāli reglamentēta, pārvietošana pāri Latvijas Republikas valsts robežai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pants. Noziedzīgi iegūtu līdzekļu legalizēšana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 pants. Neatļauta labumu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 pants. Komerciālā uzpirkšana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 pants. Izvairīšanās no nodokļiem un tiem pielīdzināto maksājumu nomaksas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pants. Kukuļņemšana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 pants. Kukuļa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pants. Starpniecība kukuļošanā (ja kriminālprocess ierosināts līdz Krimināllikuma grozījumu stāšanās spēkā, t.i. 2022. gada 4. maijam)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 pants. Kukuļdošana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 pants. Neatļauta piedalīšanās mantiskos darījumos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1</w:t>
            </w:r>
            <w:r w:rsidR="00000000" w:rsidRPr="00000000" w:rsidDel="00000000">
              <w:rPr>
                <w:sz w:val="24"/>
                <w:rtl w:val="0"/>
              </w:rPr>
              <w:t xml:space="preserve"> pants. Tirgošanās ar ietekmi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2</w:t>
            </w:r>
            <w:r w:rsidR="00000000" w:rsidRPr="00000000" w:rsidDel="00000000">
              <w:rPr>
                <w:sz w:val="24"/>
                <w:rtl w:val="0"/>
              </w:rPr>
              <w:t xml:space="preserve"> pants. Prettiesiska labumu pieprasīšana un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3</w:t>
            </w:r>
            <w:r w:rsidR="00000000" w:rsidRPr="00000000" w:rsidDel="00000000">
              <w:rPr>
                <w:sz w:val="24"/>
                <w:rtl w:val="0"/>
              </w:rPr>
              <w:t xml:space="preserve"> pants. Prettiesiska labumu 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Par nodokļiem un nodevām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panta otrā daļa. Informatīvo deklarāciju iesniegšanas termiņu neievērošana</w:t>
            </w:r>
          </w:p>
        </w:tc>
      </w:tr>
      <w:tr>
        <w:tc>
          <w:tcPr>
            <w:shd w:fill="ffffff"/>
            <w:vAlign w:val="top"/>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Pārbaudāmā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Konkurences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pirmā daļa (tostarp jebkurš no minētās daļas punktiem), ja par vertikālo vienošanos, kuras mērķis ir ierobežot pircēja iespēju noteikt tālākpārdošanas cenu, vai horizontālā karteļa vienošanos kā izslēgšanas pamatu no iepirkuma procedūras Sodu reģistrā ir norādījusi Konkurences padome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Imigrācijas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r w:rsidR="00000000" w:rsidRPr="00000000" w:rsidDel="00000000">
              <w:rPr>
                <w:sz w:val="24"/>
                <w:vertAlign w:val="superscript"/>
                <w:rtl w:val="0"/>
              </w:rPr>
              <w:t xml:space="preserve">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Par vienas vai vairāku personu  nodarbināšanu, ja attiecīgā persona ir tiesīga uzturēties Latvijas Republikā, bet tai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Par vairāk nekā piecu personu nodarbināšanu, ja tās ir tiesīgas uzturēties Latvijas Republikā, bet tām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Par vienas vai vairāku tādu personu (līdz piecām personām) nodarbināšanu, kuras nav tiesīgas uzturēties Latvijas Republikā.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Darba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pants. Darba līguma nenoslēgšana rakstveida formā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saskaņā ar likumu “Grozījumi Krimināllikumā” Krimināllikuma 322. pants ir svītrots, Krimināllikuma pārejas noteikumu 28. punktā noteiktais paredz piecu gadu noilguma perioda ievērošanu 322. panta piemērošanai, t.i., - ja kriminālprocess ierosināts līdz Krimināllikuma grozījumu stāšanās spēkā - 2022. gada 4. maijam, tad 322. pants ir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izslēgšanas nosacījumu kontrole tiek veikta, pārbaudot attiecīgās personas sodāmību Iekšlietu ministrijas Informācijas centra pārziņā esošajā valsts informācijas sistēmā “Sodu reģistrs”, un informāciju par to, ka attiecīgajai personai uz pieteikuma iesniegšanas brīdi nav aktuālu datu par tiesiskās aizsardzības procesiem, maksātnespējas (t.sk. bankrota, sanācija vai izlīguma) procesiem, likvidācijas procesu, apturētu vai pārtrauktu saimniecisko darbību, tiesvedību par bankrotu, piemērotu sanāciju vai izlīgumu, pārbauda Latvijas Republikas Uzņēmumu reģistrā. Vienlaikus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Paplašināt gala labuma guvēju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Eiropas digitālās inovācijas centru sniegto informāciju par dažādu komersantu lielo interesi par Atveseļošanas fonda investīcijām paplašināts MK noteikumu Nr. 10 2.4. apakšpunktā minēto gala labuma guvēju saraksts. Ar Noteikumu projektu papildus līdz šim minētajiem gala labuma guvējiem atbalstu 2.2.1.2.i. investīcijas ietvaros būs iespējams saņemt arī juridisku personu ārvalstu filiālēm, zemnieku saimniecībām, kooperatīvām sabiedrībām, kas veic saimniecisko darbību, kas ir reģistrētas Latvijas Republikā, un sociāliem uzņēmumiem. Vienlaikus iekļauta definīcija pētniecības un zināšanu izplatīšanas organizācijai saskaņā ar Komisijas regulas Nr. 651/2014 2. panta 83. punktu sakarā ar atsauces izņemšanu no MK noteikumu Nr. 10 18.2.2.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Veikt citus tehniskus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nodrošinātu vienlīdzīgus nosacījumus atbalsta sniegšanā gala labuma guvējiem, Noteikumu projekts paredz noteikt līdzīgas atbalsta intensitātes gan saņemot atbalstu saskaņā ar Komisijas Regulu Nr. 651/2014, gan </w:t>
      </w:r>
      <w:r w:rsidR="00000000" w:rsidRPr="00000000" w:rsidDel="00000000">
        <w:rPr>
          <w:i w:val="1"/>
          <w:rtl w:val="0"/>
        </w:rPr>
        <w:t xml:space="preserve">de minimis</w:t>
      </w:r>
      <w:r w:rsidR="00000000" w:rsidRPr="00000000" w:rsidDel="00000000">
        <w:rPr>
          <w:rtl w:val="0"/>
        </w:rPr>
        <w:t xml:space="preserve"> atbalstu, kā tas ir noteikts MK noteikumu Nr. 10 63. un 77.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noteiktības nolūkos ar Noteikumu projektu MK noteikumos Nr. 10 tiek izveidots 63.</w:t>
      </w:r>
      <w:r w:rsidR="00000000" w:rsidRPr="00000000" w:rsidDel="00000000">
        <w:rPr>
          <w:vertAlign w:val="superscript"/>
          <w:rtl w:val="0"/>
        </w:rPr>
        <w:t xml:space="preserve">1</w:t>
      </w:r>
      <w:r w:rsidR="00000000" w:rsidRPr="00000000" w:rsidDel="00000000">
        <w:rPr>
          <w:rtl w:val="0"/>
        </w:rPr>
        <w:t xml:space="preserve"> un 78.</w:t>
      </w:r>
      <w:r w:rsidR="00000000" w:rsidRPr="00000000" w:rsidDel="00000000">
        <w:rPr>
          <w:vertAlign w:val="superscript"/>
          <w:rtl w:val="0"/>
        </w:rPr>
        <w:t xml:space="preserve">1</w:t>
      </w:r>
      <w:r w:rsidR="00000000" w:rsidRPr="00000000" w:rsidDel="00000000">
        <w:rPr>
          <w:rtl w:val="0"/>
        </w:rPr>
        <w:t xml:space="preserve"> punkts, kas precīzāk nosaka kārtību, kā tiek aprēķināta maksimāli pieļaujamā atbalsta intensitāte, ja projektā plānotie sākotnējie ieguldījumi tiek veikti Latvijā divos vai vairākos dažādas atbalsta intensitātes 2021. gada  nomenklatūras klasifikācijas 3. līmeņa (turpmāk – 2021. gada NUTS 3 dati) reģionos , piemērojot vienu no šādām atbalsta intensitātēm. Tādējādi ar grozījumiem tiek noteikts, ka, ja projektā plānotie sākotnējie ieguldījumi tiek veikti Latvijas Republikā divos vai vairākos dažādas atbalsta intensitātes 2021. gada NUTS 3 datu reģionos, piemēro vienu no šādām atbalsta intensitātēm: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katram 2021. gada NUTS 3 datu reģionam piekritīgo sākotnējo ieguldījumu izmaksām piemēro attiecīgā 2021. gada NUTS 3 datu reģiona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no sākotnējiem ieguldījumiem neatkarīgi no to atrašanās vietas komersants gūst labumu vienā vai vairākos dažādas atbalsta intensitātes 2021. gada NUTS 3 datu reģionos, visam projektam piemēro zemāko atbalsta intensitāti starp atbalsta intensitātes 2021. gada NUTS 3 datu reģioniem, kuros komersants gūst labumu no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Pierīgas NUTS 3. līmeņa reģiona novadi 2022. - 2027. gada reģionālā atbalsta kartē ir ietverti Rīgas reģionā. Papildus Ekonomikas ministrija skaidro, ka saskaņā ar Ministru kabineta 2021. gada 2. novembra noteikumu Nr. 729 “Noteikumi par reģionālās attīstības atbalstu Latvijas Republikā līdz 2027. gadam” 5. un 6. punktā noteikto paredzētās iespējas netiek piemērotas Limbažu novadam, Ogres novadam, Saulkrastu novadam un Tukuma novadam. Minētā atruna iekļauta arī MK noteikumu Nr. 10 63.2. un 77.2. apakšpunktā, kā arī nosakot atbalsta intensitātes iepriekšminētajos novados MK noteikumu Nr. 10 63.3. un 77.3. apakšpunktos. Skaidrojam, ka 2021. gada nomenklatūra un attiecīgi iepriekšminētās NUTS robežas un saistītās atbalsta intensitātes paliks spēkā visu reģionālā atbalsta karšu darbības laiku neatkarīgi no jebkādām administratīvajām izmaiņām, kas var notikt NUTS vai pašvaldību līmenī. Attiecīgi NUTS robežas un no tā izrietošās reģionālā atbalsta intensitātes, kādas tās bija dalībvalsts reģionālā atbalsta kartes apstiprināšanas brīdī, būs spēkā līdz 2027. gada 31. decembrim un attiecīgi ir jāņem vērā statistiskais reģions, kas bija pieejama dalībvalstu reģionālā atbalsta karšu pieņemšanas brīdī, t.i. 2021. gada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Svītrots MK noteikumu Nr. 10 75. punkts, vienlaikus precizējot 74. punktu, nosakot, ka MK noteikumu Nr. 10  27. punktā minētajam sīkajam (mikro) un mazajam komersantam, šo noteikumu 29. punktā minētajai biedrībai un nodibinājumam un šo noteikumu 30. punktā minētajam gala labuma guvējam atbalsts šo noteikumu 18.2. apakšpunktā minētajām izmaksām tiek sniegts saskaņā ar Komisijas regulu Nr. 1407/2013 vai Komisijas regulu Nr. 717/2014, vai Komisijas regulu Nr. 1408/2013.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10 62. punktā minēto primāri atbalstāmo darbību izmaksu segšanai plānots piešķirt atbalstu saskaņā ar Komisijas regulas Nr. 651/2014 nosacījumiem atbilstoši gala labuma guvēja lielumam. Ja gala labuma guvējam nav iespējams saņemt atbalstu saskaņā ar Komisijas regulas Nr. 651/2014 nosacījumiem, piemēram, gala labuma guvējam atbilstot grūtībās nonākuša uzņēmuma statusam, tad piemērojams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Noteikumu projekts paredz veikt izmaiņas MK noteikumu Nr. 10 27. un 30. punktā sakarā ar Atveseļošanas fonda finansējuma pārdali investīcijas ietvaros – tiek mainīts pieejamais atbalsts sīkajiem (mikro) un mazajiem komersantiem šajos noteikumos noteiktajām atbalstāmajām darbībām digitālās transformācijas un Latvijas reģionu attīstības veicināšanai no 1 000 000 </w:t>
      </w:r>
      <w:r w:rsidR="00000000" w:rsidRPr="00000000" w:rsidDel="00000000">
        <w:rPr>
          <w:i w:val="1"/>
          <w:rtl w:val="0"/>
        </w:rPr>
        <w:t xml:space="preserve">euro </w:t>
      </w:r>
      <w:r w:rsidR="00000000" w:rsidRPr="00000000" w:rsidDel="00000000">
        <w:rPr>
          <w:rtl w:val="0"/>
        </w:rPr>
        <w:t xml:space="preserve">uz 5 000 000 </w:t>
      </w:r>
      <w:r w:rsidR="00000000" w:rsidRPr="00000000" w:rsidDel="00000000">
        <w:rPr>
          <w:i w:val="1"/>
          <w:rtl w:val="0"/>
        </w:rPr>
        <w:t xml:space="preserve">euro</w:t>
      </w:r>
      <w:r w:rsidR="00000000" w:rsidRPr="00000000" w:rsidDel="00000000">
        <w:rPr>
          <w:rtl w:val="0"/>
        </w:rPr>
        <w:t xml:space="preserve">, tādējādi samazinot pieejamo finansējumu visiem gala labuma guvējiem šajos noteikumos noteiktajām atbalstāmajām darbībām no 36 000 000 </w:t>
      </w:r>
      <w:r w:rsidR="00000000" w:rsidRPr="00000000" w:rsidDel="00000000">
        <w:rPr>
          <w:i w:val="1"/>
          <w:rtl w:val="0"/>
        </w:rPr>
        <w:t xml:space="preserve">euro </w:t>
      </w:r>
      <w:r w:rsidR="00000000" w:rsidRPr="00000000" w:rsidDel="00000000">
        <w:rPr>
          <w:rtl w:val="0"/>
        </w:rPr>
        <w:t xml:space="preserve">uz 32 000 000 </w:t>
      </w:r>
      <w:r w:rsidR="00000000" w:rsidRPr="00000000" w:rsidDel="00000000">
        <w:rPr>
          <w:i w:val="1"/>
          <w:rtl w:val="0"/>
        </w:rPr>
        <w:t xml:space="preserve">euro</w:t>
      </w:r>
      <w:r w:rsidR="00000000" w:rsidRPr="00000000" w:rsidDel="00000000">
        <w:rPr>
          <w:rtl w:val="0"/>
        </w:rPr>
        <w:t xml:space="preserve">. Minētās izmaiņas saistītas ar sīko (mikro) un mazo komersantu lielo interesi par atbalsta iegūšanu atvieglotā kārtībā nelieliem ieguldījumiem komercdarbības digitālā transformācijā. Vienlaikus precizēts, ka MK noteikumu Nr. 10 30. punktā minētais finansējums pieejams visiem šajos noteikumos minētajiem gala labuma guvējiem, izņemot biedrības un nodibinājumus, kam pieejamais finansējums ir noteikts šo noteikumu 29.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Noteikumu projekts paredz MK noteikumu Nr. 10 25.6. apakšpunktā papildināt ar Ekonomikas ministriju saskaņojamo Latvijas Investīciju un attīstības aģentūras sagatavoto dokumentāciju, tajā iekļaujot arī iekšējās kontroles sistēmu, kā arī precizējot, ka Latvijas Investīciju un attīstības aģentūrai nepieciešams izstrādāt kārtību, kādā gala labuma guvējam tiek izsniegts grants un tiek nodrošināta granta izmantošanas uzraudzība. Papildus noteikumu projekts paredz MK noteikumu Nr. 10 25.</w:t>
      </w:r>
      <w:r w:rsidR="00000000" w:rsidRPr="00000000" w:rsidDel="00000000">
        <w:rPr>
          <w:vertAlign w:val="superscript"/>
          <w:rtl w:val="0"/>
        </w:rPr>
        <w:t xml:space="preserve">1</w:t>
      </w:r>
      <w:r w:rsidR="00000000" w:rsidRPr="00000000" w:rsidDel="00000000">
        <w:rPr>
          <w:rtl w:val="0"/>
        </w:rPr>
        <w:t xml:space="preserve"> punktā noteikt, ka minēto dokumentāciju 2.2.1.2.i. investīcijas īstenošanas laikā Latvijas Investīciju un attīstības aģentūra pēc savas iniciatīvas vai Ekonomikas ministrijas lūguma var pilnveidot pēc nepieciešamības un iesniegt izvērtēšanai un saskaņošanai Ekonomikas ministrijā, nodrošinot to, ka MK noteikumu Nr. 10 25.6. apakšpunktā dokumentāciju nepieciešamības gadījumā ir iespējams precizēt saskaņā ar izmaiņām investīcijas īstenošanā. Vienlaikus minētie kritēriji un kārtība nav maināma pēc būtības, bet, piemēram, gadījumos, kad ir izmaiņas regulās, normatīvajos aktos, kas tieši ir saistīti ar MK noteikumos noteikto, kas savukārt ir saistīts ar minēto kārtību. Lai nodrošinātu tiesisko skaidrību, 25.</w:t>
      </w:r>
      <w:r w:rsidR="00000000" w:rsidRPr="00000000" w:rsidDel="00000000">
        <w:rPr>
          <w:vertAlign w:val="superscript"/>
          <w:rtl w:val="0"/>
        </w:rPr>
        <w:t xml:space="preserve">1</w:t>
      </w:r>
      <w:r w:rsidR="00000000" w:rsidRPr="00000000" w:rsidDel="00000000">
        <w:rPr>
          <w:rtl w:val="0"/>
        </w:rPr>
        <w:t xml:space="preserve"> punktā iekļauta atruna, ka precizējumi ir iespējami, vienlaikus nodrošinot vienlīdzību projekta pieteikumu vērtēšanas procesā un neietekmējot tiesiskās paļāvības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Noteikumu projektā precizēts MK noteikumu Nr. 10 25.7. apakšpunkts, nosakot, ka gala labuma guvēju iesniegto pieteikumu izvērtēšana veicama atbilstoši vērtēšanas kritērijiem, komercdarbības atbalsta piešķiršanas prasībām un MK noteikumu Nr. 10 nosacījumiem, par investīciju projektu pieteikumu iesniegšanai nepieciešamo informāciju, iesniegšanas kārtību un vērtēšanas kritērijiem informējot Latvijas Investīciju un attīstības aģentūras tīmekļvietnē. Latvijas Investīciju un attīstības aģentūra nodrošina arī  savstarpējās uzraudzības principu ievērošanu lēmuma pieņemšanas laikā, tas ir, veicot gala labuma guvēju iesniegto pieteikumu vērtēšanu, sniedzot atbalstu gala labuma guvējam 2.2.1.2.i investīcijas ietvaros un veicot piešķirtā atbalsta uzskaiti un uzraudzību saskaņā ar Latvijas Investīciju un attīstības iekšējā kārtību un tajā noteiktajiem vērtēšanas kritērijiem, lēmuma pieņemšanas termiņiem un vērtēšanas metodiku atbilstoši MK noteikumu Nr. 10 25.6. apakšpunktā noteiktajiem dokumentiem, ievērojot, ka investīciju projektu pieteikumu vērtēšanas laikā komisijas, kas noteikta vērtēšanas komisijas reglamentā, sastāvā ir vismaz divi komisijas locekļi no dažādām Latvijas Investīciju un attīstības aģentūras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Noteikumu projektā precizēts MK noteikumu Nr. 10 40. punkts, norādot, ka Latvijas Investīciju un attīstības aģentūra sniegs atbalstu granta veidā, ievērojot Ministru kabineta 2017. gada 28. februāra noteikumos Nr.104 "Noteikumu par iepirkuma procedūru un tās piemērošanas kārtību pasūtītāja finansētiem projektiem" (turpmāk – MK noteikumi Nr. 104) paredzēto elastību (skat. sākotnējo noteikumu anotācijā ietverto informāciju). Veiktās izmaiņas MK noteikumu Nr. 10 2.4. apakšpunktā neietekmē MK noteikumu Nr. 10 40. punktā paredzēto regulējumu, kurš tika veidots piemērošanai MK noteikumu Nr. 104 subjektiem, kas minēti MK noteikumu Nr. 10 27. punktā, tas ir, sīkajiem (mikro) un mazajiem komersantiem. Vienlaikus MK noteikumu Nr. 10 40. punkts nav attiecināms uz citiem šajos noteikumos minētajiem gala labuma guvējiem Publisko iepirkumu likuma subjektiem, piemēram, publiskas personas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Lai nodrošinātu līdzīgu principu ievērošanu Atveseļošanas un noturības mehānisma plāna investīciju ietvaros, ar noteikumu projektu papildināts neatbalstāmo nozaru un darbību saraksts MK noteikumu Nr. 10 60. un 60.</w:t>
      </w:r>
      <w:r w:rsidR="00000000" w:rsidRPr="00000000" w:rsidDel="00000000">
        <w:rPr>
          <w:vertAlign w:val="superscript"/>
          <w:rtl w:val="0"/>
        </w:rPr>
        <w:t xml:space="preserve">1</w:t>
      </w:r>
      <w:r w:rsidR="00000000" w:rsidRPr="00000000" w:rsidDel="00000000">
        <w:rPr>
          <w:rtl w:val="0"/>
        </w:rPr>
        <w:t xml:space="preserve"> punktā, kā arī 79. punktā noteiktās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Ar Noteikumu projektu tiek precizēts MK noteikumu Nr. 10 76. punkts, novēršot atsauci uz MK noteikumu Nr. 10 2.6. apakšpunktu, kurā noteikta lielā komersanta definīcija, savukārt 76. punkta redakcija paredz sīkajam (mikro) un mazajam komersantam maksimāli pieļaujamo atbalsta intensitāti no investīciju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Ar Noteikumu projektu precizētā redakcijā izteikts MK Noteikumu Nr. 10 34. punkts, skaidrāk tā apakšpunktos nosakot, saskaņā ar kādiem izslēgšanas kritērijiem nepieciešams veikt pārbaudes attiecībā uz gala labuma guvēju tā projekta pieteikuma izvērtēšanas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Ar Noteikumu projektu papildināts MK noteikumu Nr. 10 punkts, izpildot </w:t>
      </w:r>
      <w:r w:rsidR="00000000" w:rsidRPr="00000000" w:rsidDel="00000000">
        <w:rPr>
          <w:i w:val="1"/>
          <w:rtl w:val="0"/>
        </w:rPr>
        <w:t xml:space="preserve">de minimis</w:t>
      </w:r>
      <w:r w:rsidR="00000000" w:rsidRPr="00000000" w:rsidDel="00000000">
        <w:rPr>
          <w:rtl w:val="0"/>
        </w:rPr>
        <w:t xml:space="preserve"> regulu 6. panta 1. punkta prasības par nepieciešamību atsaukties uz šo regulu un norādot tās nosaukumu un atsauci uz publikāciju Eiropas Savienības Oficiālajā Vēstnesī.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Ar Noteikumu projektu papildināts MK noteikumu Nr. 10 60.1. un 60.5. apakšpunkts, skaidrāk nosakot, ka minētie ierobežojumi attiecināmi tikai gadījumos, ja gala labuma guvējs pretendē uz atbalstu saskaņā ar Komisijas regulu Nr. 651/2014. Pēc līdzīga principa papildināta arī 79. punkta apakšpunktu redakcija. Vienlaikus papildināts 60. punkta apakšpunktos noteiktās neatbalstāmās nozares un darbības, tajā iekļaujot darbības, kas saistītas NACE 2. red. grupā 38.21 “Atkritumu apstrāde un izvietošana (izņemot bīstamos atkritumus) un grupa 38.22 “Bīstamo atkritumu apstrāde un izvietošana”) noteiktajiem 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Ņemot vērā, ka šobrīd norit Komisijas regulas Nr. 651/2014 grozījumu saskaņošanas process, kuru apstiprināšanas gadījumā tiktu mainīts regulas attiecināmības termiņš, precizēta MK noteikumu Nr. 10 69. punkta redakcija, tādējādi novēršot nepieciešamību grozīt MK noteikumus Nr. 10, ja regulas apstiprināšana notiktu pēc Noteikumu projekta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22. februāra ir atvērta pieteikumu saņemšana, vienlaikus, lai kvalificētos atbalstam, gala labuma guvējam jāsaņem Eiropas Digitālā inovāciju centra digitālā brieduma tests un ceļa karte, kas faktiski nozīmē, ka LIAA tiks saņemti projekta iesniegumi ne ātrāk kā jūnija beigās. Līdz ar to ar Noteikumu projektu veiktie precizējumi neietekmē LIAA atbalsta sniegšanu, vienlaikus ar Noteikumu projektu paredzēts skaidrāk atrunāt atbalsta sniegšanas procesu – precizēta principa “nenodarīt būtisku kaitējumu” ieviešana, norādot nozares un darbības, kas netiek atbalstītas, kā arī skaidrības nolūkos tiek atrunāti izslēgšanas kritēriji saskaņā ar ārējiem normatīvajiem aktiem, kas bija saistoši jau iepriekš. Ar Noteikumu projektu tiek paplašināta gala labuma guvēju veidi, kas var pieteikties atbalsta saņemšanai, tādējādi nosakot labākus atbalsta saņemšanas nosacījumus investīcijas ietvaros, lai nodrošinātu Atveseļošanas fonda finansējuma apguvi.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paredzētais atbalsts juridiskām personām veicinās to konkurētspēju, risinājumu ieviešanu sasaistē ar viedās specializācijas stratēģiju.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atbalstāmās darbības ļaus komersantiem nodrošināt investīciju ieguldījumus procesu digitalizācijā, paaugstinot to produktivitāti.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27. jūnija Regula (ES)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52021XC0218(01)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paziņojums Tehniskie norādījumi par principa “nenodarīt būtisku kaitējumu” piemērošanu saskaņā ar Atveseļošanas un noturības mehānisma regulu 2021/C58/01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nodrošinās kopsavilkuma informācijas par plānotajām izmaiņām nosūtīšanu Eiropas Komisijai 20 darbadienu laikā no Noteikumu projekta spēkā stāšanās brīža.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 (MK noteikumu Nr. 10 60.5.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un "d" apakšpunkts, 13. panta "a", "b", "c", "d"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 (MK noteikumu Nr. 10 60.1.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(MK noteikumu Nr. 10 2.7.</w:t>
            </w:r>
            <w:r w:rsidR="00000000" w:rsidRPr="00000000" w:rsidDel="00000000">
              <w:rPr>
                <w:sz w:val="24"/>
                <w:vertAlign w:val="superscript"/>
                <w:rtl w:val="0"/>
              </w:rPr>
              <w:t xml:space="preserve">1</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punkts (MK noteikumu Nr. 10 69.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 (MK noteikumu Nr. 10 2.10.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un 26. punkts (MK noteikumu Nr. 10 54. un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punkts (MK noteikumu Nr. 10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"a", "b", "c",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punkts (MK noteikumu Nr. 10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punkts (MK noteikumu Nr. 10 34.4.3.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Regulu (ES)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30. un 37. punkts (MK noteikumu Nr. 10 36., 62. un 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punkts (MK noteikumu Nr. 10 79.1.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 punkts (MK noteikumu Nr. 10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 punkts (MK noteikumu Nr. 10 77.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27. jūnija Regula (ES)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717/2014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30. un 37. punkts (MK noteikumu Nr. 10 36., 62. un 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punkts (MK noteikumu Nr. 10 79.2.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45. punkts (MK noteikumu Nr. 10 84.2.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 punkts (MK noteikumu Nr. 10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717/2014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 punkts (MK noteikumu Nr. 10 77.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Regula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1408/2013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30. un 37. punkts (MK noteikumu Nr. 10 36., 62. un 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punkts (MK noteikumu Nr. 10 79.3.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45. punkts (MK noteikumu Nr. 10 84.3.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 punkts (MK noteikumu Nr. 10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1408/2013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 punkts (MK noteikumu Nr. 10 77.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paziņojums Tehniskie norādījumi par principa “nenodarīt būtisku kaitējumu” piemērošanu saskaņā ar Atveseļošanas un noturības mehānisma regulu 2021/C58/01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Noteikumu projektu MK noteikumos Nr. 10 tiek iekļautas prasības, kas noteiktas Komisijas paziņojums Tehniskie norādījumi par principa “nenodarīt būtisku kaitējumu” piemērošanu saskaņā ar Atveseļošanas un noturības mehānisma regulas 2021/C58/01 (turpmāk – Regula 2021/C58/01) 1. punktā noteikto skaidrojumu. Noteikumu projektā iekļauta atsauce uz sešiem vides mērķiem, uz kuriem attiecas Taksonomijas regula un kur principa “nenodarīt būtisku kaitējumu” ievērošanas ietvaros jāvērtē visi Atveseļošanas fonda plāna pasākumi, uz 2.2.1.2.i. investīciju kā pasākumam, kuram paredzamā ietekme uz visiem vai dažiem no sešiem vides mērķiem ir nebūtiska, piemērojot vienkāršoto novērtējumu (Regulas 2021/C58/01 2.2. apakšpunkts).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digitālās inovācijas centri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tiks ievietoti pēc publiskās apspriedes.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 Latvijas Investīciju un attīstības aģentūra. Noteikumu projekts izstrādāts saskaņā ar Eiropas digitālās inovācijas centru sniegtajiem priekšlikumiem un komersantu priekšlikumiem par atbalsta nosacījumu piemērošanu.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23-TA-875</w:t>
    </w:r>
    <w:r>
      <w:br/>
    </w:r>
    <w:r w:rsidR="00000000" w:rsidRPr="00000000" w:rsidDel="00000000">
      <w:rPr>
        <w:rtl w:val="0"/>
      </w:rPr>
      <w:t xml:space="preserve">Izdrukāts 29.07.2026. 23.53 - 5.0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23-TA-875</w:t>
    </w:r>
    <w:r>
      <w:br/>
    </w:r>
    <w:r w:rsidR="00000000" w:rsidRPr="00000000" w:rsidDel="00000000">
      <w:rPr>
        <w:rtl w:val="0"/>
      </w:rPr>
      <w:t xml:space="preserve">Izdrukāts 29.07.2026. 23.53 - 5.0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anotācija_(ex_ante)_23-TA-875.docx</dc:title>
</cp:coreProperties>
</file>

<file path=docProps/custom.xml><?xml version="1.0" encoding="utf-8"?>
<Properties xmlns="http://schemas.openxmlformats.org/officeDocument/2006/custom-properties" xmlns:vt="http://schemas.openxmlformats.org/officeDocument/2006/docPropsVTypes"/>
</file>