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11. augusta noteikumos Nr. 500 "Norvēģijas finanšu instrumenta 2014.–2021. gada perioda programmas "Uzņēmējdarbības attīstība, inovācijas un mazie un vidējie uzņēmumi" divpusējās sadarbības fonda iniciatīvu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2020. gada 11. augusta noteikumos Nr. 500 "Norvēģijas finanšu instrumenta 2014.–2021. gada perioda programmas "Uzņēmējdarbības attīstība, inovācijas un mazie un vidējie uzņēmumi" divpusējās sadarbības fonda iniciatīvu īstenošanas noteikumi”” (turpmāk – MK noteikumu projekts) ir izstrādāts, lai aizstātu tiesību aktā ietvertās atsauces uz Eiropas Komisijas 2013. gada 18. decembra Regulu (ES) Nr. 1407/2013 par Līguma par Eiropas Savienības darbību 107. un 108. panta piemērošanu de minimis atbalstam (turpmāk – Komisijas Regula Nr. 1407/2013)  ar atsaucēm uz Eiropas Komisijas 2023. gada 13. decembra Regulas (ES) Nr. 2023/2831 par Līguma par Eiropas Savienības darbību 107. un 108. panta piemērošanu de minimis atbalstam (turpmāk – Komisijas Regula Nr. 2023/2831) un nodrošinātu tiesību akta atbilstību Regulas Nr. 2023/2831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nodrošināt tiesību akta atbilstību Regulas Nr. 2023/2831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2020.gada 11.augustā apstiprināja Ministru kabineta noteikumus Nr. 500 “Norvēģijas finanšu instrumenta 2014.–2021. gada perioda programmas "Uzņēmējdarbības attīstība, inovācijas un mazie un vidējie uzņēmumi" divpusējās sadarbības fonda iniciatīvu īstenošanas noteikumi” (turpmāk - MK noteikumi Nr. 500), kas nosaka Norvēģijas finanšu instrumenta 2014. – 2021. gada perioda programmas “Uzņēmējdarbības attīstība, inovācijas un mazie un vidējie uzņēmumi” (turpmāk – Programma) divpusēja sadarbības fonda iniciatīvu īstenošanas kārtību. Divpusējās sadarbības fonda iniciatīvu mērķis ir pilnveidot Latvijas un Norvēģijas sadarbību un uzlabot savstarpējās zināšanas un izpratni zaļo inovāciju, dzīves kvalitāti atbalstošo tehnoloģiju, kā arī informācijas un komunikācijas tehnoloģiju attīstības jomā (MK noteikumu Nr. 500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Nr.500 11.punkts paredz atbalsta sniegšanu komersantiem saskaņā Komisijas Regula (ES) Nr. 1407/2013, kas ar 2023. gada 31. decembri izbeidz savu darbību un ar 2024. gada 1. janvāri stājas spēkā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piešķiršanu atbilstoši spēkā esošiem </w:t>
      </w:r>
      <w:r w:rsidR="00000000" w:rsidRPr="00000000" w:rsidDel="00000000">
        <w:rPr>
          <w:i w:val="1"/>
          <w:rtl w:val="0"/>
        </w:rPr>
        <w:t xml:space="preserve">de minimis</w:t>
      </w:r>
      <w:r w:rsidR="00000000" w:rsidRPr="00000000" w:rsidDel="00000000">
        <w:rPr>
          <w:rtl w:val="0"/>
        </w:rPr>
        <w:t xml:space="preserve"> nosacījumiem, ar MK noteikumu projektu tiek veikti precizējumi. Pēc būtības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galvenās izmaiņas skar </w:t>
      </w:r>
      <w:r w:rsidR="00000000" w:rsidRPr="00000000" w:rsidDel="00000000">
        <w:rPr>
          <w:i w:val="1"/>
          <w:rtl w:val="0"/>
        </w:rPr>
        <w:t xml:space="preserve">de minimis</w:t>
      </w:r>
      <w:r w:rsidR="00000000" w:rsidRPr="00000000" w:rsidDel="00000000">
        <w:rPr>
          <w:rtl w:val="0"/>
        </w:rPr>
        <w:t xml:space="preserve"> atbalsta kopsummu, kas, saskaņā ar Komisijas Regulas Nr. 2023/2831 3.panta otro daļu, var sasniegt 300 000 EUR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i w:val="1"/>
          <w:rtl w:val="0"/>
        </w:rPr>
        <w:t xml:space="preserve">de minimis</w:t>
      </w:r>
      <w:r w:rsidR="00000000" w:rsidRPr="00000000" w:rsidDel="00000000">
        <w:rPr>
          <w:rtl w:val="0"/>
        </w:rPr>
        <w:t xml:space="preserve"> atbalsta trīs gadu periodu saprotams laika periods no konkrēta datuma, kad piešķirts pēdējais atbalsts līdz konkrētam datumam, kas ir jaunā piešķiramā atbalsta datums, piemēram, ja jaunā atbalsta piešķiršanas datums ir 2024.gada 18.jūnijs, trīs gadu periods būs skaitāms no 2021.gada 18.jūnija.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saskaņā ar Komisijas 2023. gada 13. decembra regulu Nr. 2023/2831 par Līguma par Eiropas Savienības darbību 107. un 108. panta piemērošanu</w:t>
      </w:r>
      <w:r w:rsidR="00000000" w:rsidRPr="00000000" w:rsidDel="00000000">
        <w:rPr>
          <w:i w:val="1"/>
          <w:rtl w:val="0"/>
        </w:rPr>
        <w:t xml:space="preserve"> de minimis </w:t>
      </w:r>
      <w:r w:rsidR="00000000" w:rsidRPr="00000000" w:rsidDel="00000000">
        <w:rPr>
          <w:rtl w:val="0"/>
        </w:rPr>
        <w:t xml:space="preserve">atbalstam (turpmāk – Komisijas regula Nr.2023/2831) varēs piešķirt tikai pēc šo noteikumu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Nr.2023/2831 6.panta 3.punkts nosaka, ka dalībvalstis reģistrēto informāciju par </w:t>
      </w:r>
      <w:r w:rsidR="00000000" w:rsidRPr="00000000" w:rsidDel="00000000">
        <w:rPr>
          <w:i w:val="1"/>
          <w:rtl w:val="0"/>
        </w:rPr>
        <w:t xml:space="preserve">de minimis</w:t>
      </w:r>
      <w:r w:rsidR="00000000" w:rsidRPr="00000000" w:rsidDel="00000000">
        <w:rPr>
          <w:rtl w:val="0"/>
        </w:rPr>
        <w:t xml:space="preserve"> atbalstu glabā 10 gadus no atbalsta piešķiršanas dienas, 10 gadu periodu skaitot no atbalsta piešķiršanas brīža finansējumam saņēmējam, no pēdējās atbalsta daļas izmaksas brīža  - programmas apsaimniekotājam, turpat, Komisijas regulas Nr. 2023/2831 6.panta 7.punkts nosaka, pēc rakstiska Komisijas pieprasījuma attiecīgā dalībvalsts 20 darbdienu laikā vai tādā ilgākā laikposmā, kāds noteikts pieprasījumā, sniedz Komisijai visu informāciju, kuru Komisija uzskata par vajadzīgu, lai novērtētu, vai šīs regulas nosacījumi ir izpildīti, un jo īpaši informāciju par uzņēmuma saņemto </w:t>
      </w:r>
      <w:r w:rsidR="00000000" w:rsidRPr="00000000" w:rsidDel="00000000">
        <w:rPr>
          <w:i w:val="1"/>
          <w:rtl w:val="0"/>
        </w:rPr>
        <w:t xml:space="preserve">de minimis</w:t>
      </w:r>
      <w:r w:rsidR="00000000" w:rsidRPr="00000000" w:rsidDel="00000000">
        <w:rPr>
          <w:rtl w:val="0"/>
        </w:rPr>
        <w:t xml:space="preserve"> atbalsta kopsummu šīs regulas un citu </w:t>
      </w:r>
      <w:r w:rsidR="00000000" w:rsidRPr="00000000" w:rsidDel="00000000">
        <w:rPr>
          <w:i w:val="1"/>
          <w:rtl w:val="0"/>
        </w:rPr>
        <w:t xml:space="preserve">de minimis </w:t>
      </w:r>
      <w:r w:rsidR="00000000" w:rsidRPr="00000000" w:rsidDel="00000000">
        <w:rPr>
          <w:rtl w:val="0"/>
        </w:rPr>
        <w:t xml:space="preserve">regulu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pastāv gadījumi, kad Eiropas Komisija, ievērojot Padomes Regulā (ES) 2015/1589 (2015. gada 13. jūlijs), ar ko nosaka sīki izstrādātus noteikumus Līguma par Eiropas Savienības darbību 108. panta piemērošanai (kodificēta redakcija) (jeb Procesuālā regula) noteikto 10 gadu noilguma periodu saistībā ar nelikumīga un nesaderīga komercdarbības atbalsta atgūšanu, var pieprasīt dalībvalstīm iesniegt informāciju, kas pārsniedz Komisijas regulas Nr.2023/2831 6.panta 1.punktā ietverto informācijas apjomu - saņēmēja identifikācija, atbalsta summa, piešķiršanas diena, piešķīrēja iestāde, atbalsta instruments un atbilstošā nozare, ko norāda, pamatojoties uz saimniecisko darbību statistisko klasifikāciju Savienībā (“NACE klasifikācija”).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tikai dalībvalsts ir tā, kas, ņemot vērā, piemēram, </w:t>
      </w:r>
      <w:r w:rsidR="00000000" w:rsidRPr="00000000" w:rsidDel="00000000">
        <w:rPr>
          <w:i w:val="1"/>
          <w:rtl w:val="0"/>
        </w:rPr>
        <w:t xml:space="preserve">de minimis </w:t>
      </w:r>
      <w:r w:rsidR="00000000" w:rsidRPr="00000000" w:rsidDel="00000000">
        <w:rPr>
          <w:rtl w:val="0"/>
        </w:rPr>
        <w:t xml:space="preserve">atbalsta uzskaites un piešķiršanas kārtību, izvērtē, kur vai pie kā (atbalsta saņēmēja) dalībvalstī  varētu atrasties informācija, kuru EK varētu prasīt. Secināms, ka daļa informācijas, ko var pieprasīt EK, var atrasties pie finansējuma saņēmēja, līdz ar to pienākums glabāt informāciju par </w:t>
      </w:r>
      <w:r w:rsidR="00000000" w:rsidRPr="00000000" w:rsidDel="00000000">
        <w:rPr>
          <w:i w:val="1"/>
          <w:rtl w:val="0"/>
        </w:rPr>
        <w:t xml:space="preserve">de minimis</w:t>
      </w:r>
      <w:r w:rsidR="00000000" w:rsidRPr="00000000" w:rsidDel="00000000">
        <w:rPr>
          <w:rtl w:val="0"/>
        </w:rPr>
        <w:t xml:space="preserve"> atbalstu un nodrošināt informācijas pieejamību  ir ne tikai programmas apsaimniekotājam, bet arī finansējuma saņēmējam, no tā izriet, ka finansējuma saņēmējam ir pienākums pēc programmas apsaimniekotāja pieprasījuma sniegt nepieciešamo informāciju, lai programmas apsaimniekotājs varētu izpildīt pienākumu, kas tam var tikt uzlikts atbilstoši Komisijas regulas Nr. 2023/2831 6.panta 7.punktam.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tiek atvieglota pieteikumu iesniegšanas kārtība, proti, tie vairs nebūs jāsūta uz oficiālo LIAA e-pastu, bet tos centralizēti varēs iesniegt valsts platformā biznesa attīstībai www.business.gov.lv (turpmāk – Sistēma). Tā kā Sistēma ir centralizēta gan uzsaukumu izsludināšanai, pieteikumu un maksājumu pieprasījumu iesniegšanai, vienlaikus ar grozījumiem tiek noteikts, ka komersants pieteikumu, un ar to saistītos dokumentus, iesniedz Sistēmā. Līdz ar to visā MK noteikumu Nr. 500 tekstā vārdi “www.liaa.gov.lv” tiek aizstāti ar vārdiem “www.business.gov.lv".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13. decembra Regulas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13. decembra Regulas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13.3. punkts un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1.punkts un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punkts un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izmaiņas attiecas uz ierobežotu mērķa grupu – programmas apsaimniekotāju. Līdz ar to noteikumu projekta izstrādes gaitā nav nepieciešama sabiedrības līdzdalības iesaiste.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24-TA-1379</w:t>
    </w:r>
    <w:r>
      <w:br/>
    </w:r>
    <w:r w:rsidR="00000000" w:rsidRPr="00000000" w:rsidDel="00000000">
      <w:rPr>
        <w:rtl w:val="0"/>
      </w:rPr>
      <w:t xml:space="preserve">Izdrukāts 29.07.2026. 21.41 - 3.0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24-TA-1379</w:t>
    </w:r>
    <w:r>
      <w:br/>
    </w:r>
    <w:r w:rsidR="00000000" w:rsidRPr="00000000" w:rsidDel="00000000">
      <w:rPr>
        <w:rtl w:val="0"/>
      </w:rPr>
      <w:t xml:space="preserve">Izdrukāts 29.07.2026. 21.41 - 3.0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anotācija_(ex_ante)_24-TA-1379.docx</dc:title>
</cp:coreProperties>
</file>

<file path=docProps/custom.xml><?xml version="1.0" encoding="utf-8"?>
<Properties xmlns="http://schemas.openxmlformats.org/officeDocument/2006/custom-properties" xmlns:vt="http://schemas.openxmlformats.org/officeDocument/2006/docPropsVTypes"/>
</file>