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valsts zinātnisko institūciju zinātības, tehnoloģiju un izgudrojumu saimniecisko izmantošanu, ieguldījumu novērtēšanu, risku toleranci un atlīdzības noteikšanu"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darbības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32.</w:t>
      </w:r>
      <w:r w:rsidR="00000000" w:rsidRPr="00000000" w:rsidDel="00000000">
        <w:rPr>
          <w:vertAlign w:val="superscript"/>
          <w:rtl w:val="0"/>
        </w:rPr>
        <w:t xml:space="preserve">1</w:t>
      </w:r>
      <w:r w:rsidR="00000000" w:rsidRPr="00000000" w:rsidDel="00000000">
        <w:rPr>
          <w:rtl w:val="0"/>
        </w:rPr>
        <w:t xml:space="preserve"> panta septītā daļa uzdod Ministru kabinetam uzdevumu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nosacījumus un kārtību valsts zinātnisko institūciju ieguldījumu novērtēšanai — pieļaujamo risku līmeni (risku tolerance) veikto ieguldījumu attiecībai pret iespējamiem zaudējumiem, laika periodu, kādā mēra risku toleranci, prasības pieļaujamā riska līmeņa nodrošināšanai un uzraudzībai, rīcību gadījumos, kad konstatē, ka noteiktais risku līmenis ir pārsniegts;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nosacījumus un kārtību, kādā saimnieciski izmantojamas (komercializējamas) valsts, pašvaldības, Eiropas Savienības fondu vai citas publiskas personas finansētu valsts zinātnisko institūciju zinātnisko pētījumu rezultātā radītās tiesības uz zinātību, tehnoloģiju,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nosaka atlīdzību par tiesību uz zinātību, tehnoloģiju, izgudrojumu vai augu šķirni saimniecisko izmantošanu (komercializāciju) pret atlīdzību vai bez atlīdzības, atlīdzības veidus, kā arī to noteikšanas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39.</w:t>
      </w:r>
      <w:r w:rsidR="00000000" w:rsidRPr="00000000" w:rsidDel="00000000">
        <w:rPr>
          <w:vertAlign w:val="superscript"/>
          <w:rtl w:val="0"/>
        </w:rPr>
        <w:t xml:space="preserve">3</w:t>
      </w:r>
      <w:r w:rsidR="00000000" w:rsidRPr="00000000" w:rsidDel="00000000">
        <w:rPr>
          <w:rtl w:val="0"/>
        </w:rPr>
        <w:t xml:space="preserve"> panta ceturtā daļa uzdod Ministru kabinetam uzdevumu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nosacījumus un kārtību, kādā valsts zinātniskās institūcijas darbinieks informē valsts zinātnisko institūciju par jaunu zinātību, tehnoloģiju,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kritērijus, pēc kuriem valsts zinātniskā institūcija izvērtē tiesību uz zinātību, tehnoloģiju, izgudrojumu vai augu šķirni saimnieciskās izmantošanas (komercializācijas) potenciālu un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gadījumus un kritērijus, atbilstoši kuriem valsts zinātniskā institūcija var pieņemt lēmumu par atteikšanos no tiesību uz zinātību, tehnoloģiju, izgudrojumu vai augu šķirni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39.</w:t>
      </w:r>
      <w:r w:rsidR="00000000" w:rsidRPr="00000000" w:rsidDel="00000000">
        <w:rPr>
          <w:vertAlign w:val="superscript"/>
          <w:rtl w:val="0"/>
        </w:rPr>
        <w:t xml:space="preserve">6</w:t>
      </w:r>
      <w:r w:rsidR="00000000" w:rsidRPr="00000000" w:rsidDel="00000000">
        <w:rPr>
          <w:rtl w:val="0"/>
        </w:rPr>
        <w:t xml:space="preserve"> pants uzdod Ministru kabinetam uzdevumu noteikt valsts zinātniskās institūcijas darbiniekam, kas ir radījis zinātību, tehnoloģiju, izgudrojumu vai augu šķirni, ir tiesības uz taisnīgu atlīdzību no mantisko tiesību uz zinātību, tehnoloģiju, izgudrojumu vai augu šķirni komercializācijas rezultātā gūtajiem ienākumiem. Valsts zinātniskās institūcijas darbinieka tiesību uz taisnīgu atlīdzību noteikšanas principus, nosacījumus un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valsts zinātniskām institūcijām iespējas komercializēt publiskas personas finansētu zinātnisko pētījumu rezultātā radīto intelektuālo īpašumu, nosakot institūcijām pienākumu izvērtēt intelektuālā īpašuma komercializācijas potenciālu, riska toleranci un nepieciešamos ieguldījumu, kā arī noteikt atlīdzību par radīto intelektuālo īpašumu  un darbinieku tiesības uz taisnīgu atlīdzību no komercializācijas rezultātā gūtajiem ienākumiem.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darbības likuma Pārejas noteikumu 45.punkts -  Ministru kabinets līdz 2025. gada 30. jūnijam izdod šā likuma 32.</w:t>
      </w:r>
      <w:r w:rsidR="00000000" w:rsidRPr="00000000" w:rsidDel="00000000">
        <w:rPr>
          <w:vertAlign w:val="superscript"/>
          <w:rtl w:val="0"/>
        </w:rPr>
        <w:t xml:space="preserve">1</w:t>
      </w:r>
      <w:r w:rsidR="00000000" w:rsidRPr="00000000" w:rsidDel="00000000">
        <w:rPr>
          <w:rtl w:val="0"/>
        </w:rPr>
        <w:t xml:space="preserve"> panta septītajā daļā, 39.</w:t>
      </w:r>
      <w:r w:rsidR="00000000" w:rsidRPr="00000000" w:rsidDel="00000000">
        <w:rPr>
          <w:vertAlign w:val="superscript"/>
          <w:rtl w:val="0"/>
        </w:rPr>
        <w:t xml:space="preserve">3</w:t>
      </w:r>
      <w:r w:rsidR="00000000" w:rsidRPr="00000000" w:rsidDel="00000000">
        <w:rPr>
          <w:rtl w:val="0"/>
        </w:rPr>
        <w:t xml:space="preserve"> panta ceturtajā daļā un 39.</w:t>
      </w:r>
      <w:r w:rsidR="00000000" w:rsidRPr="00000000" w:rsidDel="00000000">
        <w:rPr>
          <w:vertAlign w:val="superscript"/>
          <w:rtl w:val="0"/>
        </w:rPr>
        <w:t xml:space="preserve">6</w:t>
      </w:r>
      <w:r w:rsidR="00000000" w:rsidRPr="00000000" w:rsidDel="00000000">
        <w:rPr>
          <w:rtl w:val="0"/>
        </w:rPr>
        <w:t xml:space="preserve"> pantā minētos noteikumus.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situācijā Latvijā </w:t>
      </w:r>
      <w:r w:rsidR="00000000" w:rsidRPr="00000000" w:rsidDel="00000000">
        <w:rPr>
          <w:u w:val="single"/>
          <w:rtl w:val="0"/>
        </w:rPr>
        <w:t xml:space="preserve">nav normatīvais regulējums</w:t>
      </w:r>
      <w:r w:rsidR="00000000" w:rsidRPr="00000000" w:rsidDel="00000000">
        <w:rPr>
          <w:rtl w:val="0"/>
        </w:rPr>
        <w:t xml:space="preserve">, kas nosaka: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nosacījumus un kārtību, kādā saimnieciski izmantojamas (komercializējamas) valsts, pašvaldības, Eiropas Savienības fondu vai citas publiskas personas finansētu valsts zinātnisko institūciju zinātnisko pētījumu rezultātā radītās tiesības uz zinātību, tehnoloģiju,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nosacījumus un kārtību, kādā nosaka atlīdzību par tiesību uz zinātību, tehnoloģiju, izgudrojumu vai augu šķirni saimniecisko izmantošanu (komercializāciju) pret atlīdzību vai bez atlīdzības, atlīdzības veidus, kā arī to noteikšanas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valsts zinātniskās institūcijas darbinieks informē valsts zinātnisko institūciju par jaunu zinātību, tehnoloģiju, izgudrojumu vai augu šķirni;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kritērijus, pēc kuriem valsts zinātniskā institūcija izvērtē tiesību uz zinātību, tehnoloģiju, izgudrojumu vai augu šķirni saimnieciskās izmantošanas (komercializācijas) potenciālu un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gadījumus un kritērijus, atbilstoši kuriem valsts zinātniskā institūcija var pieņemt lēmumu par atteikšanos no tiesību uz zinātību, tehnoloģiju, izgudrojumu vai augu šķirni saimnieciskās izmantošanas (komercializācijas);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zinātniskās institūcijas darbinieka tiesību uz taisnīgu atlīdzību noteikšanas principus,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nosacījumus un kārtību valsts zinātnisko institūciju ieguldījumu novērtēšanai — pieļaujamo risku līmeni (risku tolerance) veikto ieguldījumu attiecībai pret iespējamiem zaudējumiem, laika periodu, kādā mēra risku toleranci, prasības pieļaujamā riska līmeņa nodrošināšanai un uzraudzībai, rīcību gadījumos, kad konstatē, ka noteiktais risku līmenis ir pārsniegts.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jauns normatīvais regulējums, kas ir būtisks, lai nodrošinātu efektīvu, caurskatāmu un taisnīgu intelektuālā īpašuma komercializācijas procesu, kas veicina inovācijas, tehnoloģiju attīstību un sabiedrības labklājību.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noteikumu projekts ir par valsts zinātnisko institūciju intelektuālā īpašuma komercializāciju. Tas nosaka, kā zinātniskās institūcijas var izmantot un komercializēt zinātnisko pētījumu rezultātā radīto intelektuālo īpašumu, piemēram, izgudrojumus, tehnoloģijas un augu šķirnes. Projekts ir sadalīts vairākās nodaļās, katra no tām skaidro dažādus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mērķis ir noteikt nosacījumus un kārtību, kādā valsts zinātniskās institūcijas komercializē publiskas personas finansētu zinātnisko pētījumu rezultātā radīto intelektuālo īpašumu. Tas ietver intelektuālā īpašuma komercializācijas potenciāla izvērtēšanu, atlīdzības noteikšanu, riska tolerances un ieguldījumu novērtēšanu, kā arī darbinieku tiesības uz taisnīgu atlīdzību no komercializācijas rezultātā gūtajiem ienākumiem. Projekts arī nosaka, kā informēt par jauniem intelektuālajiem īpašumiem un kā pārvaldīt komercializācijas procesus efektīvi un caurskatāmi.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komercializē publiskas personas finansētu zinātnisko pētījumu rezultātā radīto intelektuālo īpašumu, ja šāda pētījuma rezultātā ir radīts vai reģistrēts intelektuālais īpašums, kas ir pieraksta formā fiksēta zinātība, patents, preču zīme, dizainparaugs vai augu šķirne. Komercializācija var notikt caur licencēšanu, atsavināšanu vai ieguldīšanu pamatkapitālā. Institūcijām ir jāsaņem atlīdzība, kas atbilst tirgus cenai.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izvērtē intelektuālā īpašuma komercializācijas potenciālu, ņemot vērā ekonomisko ietekmi, tehnoloģisko inovāciju, ilgtspējību un sabiedrības labklājību. Ieguldījumus veic atbilstoši ieguldījumu stratēģijai, ar nosacījumu, ka ir pierādīts skaidrs ekonomiskais un zinātniskais pamatojums, kas pierāda ieguldījuma lietderību. Ieguldījumi jāveic tikai tādos uzņēmumos vai fondos, kas veicina inovācijas un zinātnisko rezultātu komercializāciju. Ieguldījumu apjoms nedrīkst pārsniegt ieguldījumu stratēģijā noteikto komercializācijas procentuālo apmēru no valsts zinātniskās institūcijas kopējā budžeta vai finanšu resursiem. Tiek piemērots interešu konflikta novēršanas princips – ieguldījumi nevar būt saistīti ar valsts zinātniskās institūcijas darbinieku vai vadības personiskajām un biznesa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zinātniskajai institūcijai ir tiesības atteikties no intelektuālā īpašuma komercializācijas, ja komercializācija neatbilst zinātniskas institūcijas darbības stratēģijai un pieejamiem resursiem, nav ekonomiski izdevīga, nav tehnoloģiski iespējama vai negatīvi ietekmē sabiedrību. Institūcija var pārskatīt lēmumu par atteikšanos no intelektuālā īpašuma komercializācijas, ja mainās būtiski apstākļi, kas var ietekmēt intelektuālā īpašuma komercializācijas ekonomisko, tehnoloģisko vai stratēģisko dzīvotspēju.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 par intelektuālā īpašuma komercializāciju ir jānosaka, pamatojoties uz tirgus cenu, un to var noteikt caur izsolēm, pārrunām vai neatkarīgu ekspertu vērtējumiem. Valsts zinātniskās institūcijas darbiniekiem ir jāziņo par jaunu intelektuālo īpašumu viena mēneša laikā no tā radīšanas brīža. Darbiniekiem, kas ir radījuši intelektuālo īpašumu, ir tiesības uz taisnīgu atlīdzību no komercializācijas rezultātā gūtajiem ienākumiem. Atlīdzība ir proporcionāla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 novērtē savus ieguldījumus un nosaka pieļaujamo riska līmeni. Institūcijām ir jāizvērtē riska tolerance vismaz reizi gadā, un maksimālais pieļaujamais riska līmenis nepārsniedz 10 procentus no veiktajiem ieguldījumiem. Institūcija nosaka pieļaujamo riska līmeni valsts zinātniskās institūcijas veikto ieguldījumu attiecībai pret iespējamiem zaudējumiem intelektuālā īpašuma komercializācijā, izstrādājot riska tolerances politiku, kurā nosaka, kā tiks veikta riska tolerances mērīšana un uzraudzība. Institūcija ieguldījumu novērtē, ņemot vērā potenciālo ekonomisko ieguvumu, ieguldījuma potenciālu tehnoloģiskās attīstības veicināšanā un inovācijās, kā arī ieguldījumu ilgtspējību un to atbilstību valsts zinātniskās institūcijas stratēģiskajiem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noteikumu projekts ir izstrādāts, lai nodrošinātu efektīvu un caurskatāmu intelektuālā īpašuma komercializācijas procesu valsts zinātniskajās institūcijās.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nebūs regulējuma par valsts zinātnisko institūciju intelektuālā īpašuma komercializāciju, var rasties vairākas negatīvas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neefektīva intelektuālā īpašuma izmantošana: Bez skaidriem noteikumiem zinātniskās institūcijas var neefektīvi izmantot radīto intelektuālo īpašumu, kas var novest pie inovāciju un tehnoloģiju attīstības stagnācijas;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finansiālie zaudējumi: Institūcijas var zaudēt potenciālos ienākumus no intelektuālā īpašuma komercializācijas, jo nav skaidri noteikta atlīdzības kārtība un tirgus cenas noteikšanas mehānismi;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3)darbinieku motivācijas trūkums: Zinātnisko institūciju darbinieki var būt mazāk motivēti radīt jaunu intelektuālo īpašumu, ja nav skaidri noteiktas viņu tiesības uz taisnīgu atlīdzību no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riska pārvaldības problēmas: Bez regulējuma institūcijas var nepareizi novērtēt ieguldījumu riskus, kas var novest pie finansiāliem zaudējumiem un neefektīvas resursu izmantošanas.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konkurences kropļojumi: Institūcijas var radīt konkurences kropļojumus tirgū, ja nav skaidri noteikumi par valsts atbalsta pieļaujamību un godīgas konkurences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nepietiekama caurskatāmība: Bez regulējuma komercializācijas procesi var būt mazāk caurskatāmi, kas var radīt uzticības problēmas starp zinātniskajām institūcijām, darbiniekiem un sabiedrību.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Tirgus pētījums: Tehnoloģiju pārnese uz spin-off uzņēmumu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Secināts, ka inovāciju un uzņēmējdarbības vidē zinātniski ietilpīgu spin-off uzņēmumu izveide kalpo kā viens no stūrakmeņiem, lai pārietu no pētījumiem uz tirgum gataviem tehnoloģiskiem risinājumiem. Neskatoties uz to būtisko lomu, spin-off uzņēmumu attīstība Latvijā saskaras ar izaicinājumiem, kas atstāj ietekmi gan uz pašu uzņēmumu attīstības progresu kā arī uz to radīto ietekmi uz ekonomiku. Pētījumā norādīts, ka spin-off uzņēmumu attīstība Latvijā virzās lēnā tempā. Iepazīstoties ar situāciju, ir skaidrs, ka tikai nedaudzi, iespējams, nedaudz vairāk nekā desmit jaunu uzņēmumu pēdējo gadu laikā ir efektīvi realizējuši tehnoloģiju pārneses (turpmāk – TP) procesu saistībā ar zinātniskajām institūcijām, lai uzsāktu savu darbību, nodrošinot investīcijas un publisko finansējumu. Plašāk skatīt likumprojekta "Grozījumi Zinātniskās darbības likumā" (ID:24-TA-2118) anotācijā (https://tapportals.mk.gov.lv/annotation/295d0dee-d212-430d-9c47-fecb689ea5d7).</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zinātnisko institūciju nodarbinātie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taisnīgu atlīdzību par radīto intelektuālo īpašumu, veicinot darbinieku iesaisti pētniecībā un inovācijās.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 skaidrus noteikumus par intelektuālā īpašuma radīšanu, ziņošanu un komercializāciju.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Veicina caurskatāmību komercializācijas procesos, palielinot uzticību starp darbiniekiem un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fondi;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Akadēmiskās un pētniecības organizācijas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juridiskās personas var būt iesaistītas intelektuālā īpašuma komercializācijas procesos, piemēram, licencēšanā, atsavināšanā vai ieguldīšanā pamatkapitālā, un tām būs jāievēro noteikumi un procedūras, kas var radīt papildu administratīvo slogu un izmaksas.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 mežsaimniecība un zivsaimniecība, Informācijas un komunikācijas pakalpojumi, Profesionālie, zinātniskie un tehniskie pakalpojumi, Izglītība, Veselība un sociālā aprūpe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Veicina inovācijas un tehnoloģiju attīstību tehnoloģiju, izglītības, lauksaimniecības, biotehnoloģiju, farmācijas un IKT nozarēs, uzlabojot konkurētspēju un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Veicina inovācijas un tehnoloģiju attīstību, kas pozitīvi ietekmē makroekonomisko vidi.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 zinātnisko institūciju spēju komercializēt intelektuālo īpašumu, palielinot nozaru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Skaidri noteikumi par intelektuālā īpašuma komercializāciju veicina uzņēmējdarbības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MVU, nodrošinot piekļuvi zinātniskajiem izgudrojumiem un tehnoloģijām.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MVU, nodrošinot piekļuvi zinātniskajiem izgudrojumiem un tehnoloģijām.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Motivē zinātniskos darbiniekus radīt jaunu intelektuālo īpašumu, veicinot nodarbinātību pētniecības un inovāciju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jaunuzņēmumi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mazie uzņēmumi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vidējie uzņēmumi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lielie uzņēmumi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investīciju fondi;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Akadēmiskās un pētniecības organizācijas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377"/>
        <w:gridCol w:w="1377"/>
        <w:gridCol w:w="1377"/>
        <w:gridCol w:w="1377"/>
        <w:gridCol w:w="1378"/>
        <w:gridCol w:w="1378"/>
        <w:gridCol w:w="1378"/>
        <w:tblGridChange w:id="0">
          <w:tblGrid>
            <w:gridCol w:w="1377"/>
            <w:gridCol w:w="1377"/>
            <w:gridCol w:w="1377"/>
            <w:gridCol w:w="1377"/>
            <w:gridCol w:w="1378"/>
            <w:gridCol w:w="1378"/>
            <w:gridCol w:w="137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Patērētais laiks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zinātnisko institūciju nodarbinātie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Uz projekta izstrādes bridi to nav iespējams noteikt.</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377"/>
        <w:gridCol w:w="1377"/>
        <w:gridCol w:w="1377"/>
        <w:gridCol w:w="1377"/>
        <w:gridCol w:w="1378"/>
        <w:gridCol w:w="1378"/>
        <w:gridCol w:w="1378"/>
        <w:tblGridChange w:id="0">
          <w:tblGrid>
            <w:gridCol w:w="1377"/>
            <w:gridCol w:w="1377"/>
            <w:gridCol w:w="1377"/>
            <w:gridCol w:w="1377"/>
            <w:gridCol w:w="1378"/>
            <w:gridCol w:w="1378"/>
            <w:gridCol w:w="137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Izlietotie naudas līdzekļi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zinātnisko institūciju nodarbinātie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Uz projekta izstrādes bridi to nav iespējams noteikt,jo tas noskaidrosies tikai tad, kad regulējumu piemēros praksē.</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zinātnisko institūciju nodarbinātie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Projekts ietekmē valsts zinātnisko institūciju nodarbinātos, jo tas nosaka skaidrus noteikumus par intelektuālā īpašuma komercializāciju, kas var radīt papildu izmaksas saistībā ar atbilstības nodrošināšanu. Taču uz projekta izstrādes bridi to nav iespējams noteikt, jo tas noskaidrosies tikai tad, kad regulējumu piemēros praksē.</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jaunuzņēmumi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mazie uzņēmumi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vidējie uzņēmumi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lielie uzņēmumi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investīciju fondi;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Akadēmiskās un pētniecības organizācijas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zinātnisko institūciju asociācija, Latvijas Universitāšu apvienība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papildināts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papildināts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izstrādes laikā ir notikušas 3 tiešsaistes tikšanās ar akadēmiskā un zinātniskā sektora pārstāvjiem. ir saņemti priekšlikumi saturam. Sadarbība ar minēto sektoru turpināsies projekta sabiedriskās apspriešanas laikā TAP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nozaru ministrijas, kuru padotībā ir valsts zinātniskās institūcijas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tiks paplašināti vai sašaurināti, lai labāk atbilstu jaunajām prasībām un mērķiem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uzlabotu institūcijas darbības efektivitāti un samazinātu izmaksas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uzlabotu datu pārvaldību un procesu automatizāciju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palielinātu institūcijas darbības efektivitāti un produktivitāti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Veicina publisku pakalpojumu attīstību, nodrošinot efektīvu zinātnisko pētījumu komercializāciju.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IKT attīstību, veicinot inovācijas un tehnoloģiju pārnesi.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Veicina informācijas sabiedrības politikas īstenošanu, uzlabojot piekļuvi zinātniskajiem pētījumiem un tehnoloģijām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Veicina plāna rādītāju īstenošanu par zinātnisko inovāciju un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Inovācijas reģionos.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 iedzīvotāju sociālo situāciju, veicinot zinātnisko pētījumu komercializāciju un radot jaunas darba vietas.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Veicina vienlīdzīgas iespējas un tiesības, nodrošinot piekļuvi zinātniskajiem pētījumiem un tehnoloģijām.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Veicina vienlīdzīgas iespējas zinātniskajā pētniecībā un inovācijās.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Veicina veselības tehnoloģiju un inovāciju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Veicina cilvēktiesības un demokrātiskas vērtības, nodrošinot piekļuvi zinātniskajiem pētījumiem un inovācijām.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datu aizsardzību, ievērojot konfidencialitātes un drošības prasības zinātniskajos pētījumos.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Veicina diasporas iesaisti zinātniskajos pētījumos un inovācijās, stiprinot saikni ar dzimteni.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Veicina bērna labākās intereses, uzlabojot izglītības un zinātnes pieejamību.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25-TA-879</w:t>
    </w:r>
    <w:r>
      <w:br/>
    </w:r>
    <w:r w:rsidR="00000000" w:rsidRPr="00000000" w:rsidDel="00000000">
      <w:rPr>
        <w:rtl w:val="0"/>
      </w:rPr>
      <w:t xml:space="preserve">Izdrukāts 29.07.2026. 23.21 - 1.0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25-TA-879</w:t>
    </w:r>
    <w:r>
      <w:br/>
    </w:r>
    <w:r w:rsidR="00000000" w:rsidRPr="00000000" w:rsidDel="00000000">
      <w:rPr>
        <w:rtl w:val="0"/>
      </w:rPr>
      <w:t xml:space="preserve">Izdrukāts 29.07.2026. 23.21 - 1.0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anotācija_(ex_ante)_25-TA-879.docx</dc:title>
</cp:coreProperties>
</file>

<file path=docProps/custom.xml><?xml version="1.0" encoding="utf-8"?>
<Properties xmlns="http://schemas.openxmlformats.org/officeDocument/2006/custom-properties" xmlns:vt="http://schemas.openxmlformats.org/officeDocument/2006/docPropsVTypes"/>
</file>