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2. jūnija noteikumos Nr. 276 "Apcietināto un notiesāto personu veselības aprūpes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2015. gada 2. jūnija noteikumos Nr. 276 "Apcietināto un notiesāto personu veselības aprūpes īstenošanas kārtība""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tajā iekļautu norādi, ka noteikumi satur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savos tiesību aktos nav pareizi transponējusi Eiropas Parlamenta un Padomes 2016. gada 11. maija Direktīvas (ES) 2016/800 par procesuālajām garantijām bērniem, kuri ir aizdomās turētie vai apsūdzētie kriminālprocesā Direktīvu. Tā nav pilnībā transponējusi Direktīvas 24. panta 1. punkta otro daļu, kas noteic, ka tad, kad dalībvalstis pieņem direktīvas noteikumus, dalībvalstu tiesību aktos ir nepieciešams ietvert atsauci uz šo direktīvu vai arī šādu atsauci pievienot to oficiālajai publikācijai. Ministru kabineta  2015. gada 2. jūnija noteikumos Nr. 276 "Apcietināto un notiesāto personu veselības aprūpes īstenošanas kārtība"" (turpmāk - Noteikumi Nr.276) šī atsauce nav iekļauta.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saņēmusi Eiropas Komisijas 2023. gada 16. novembra Formālo paziņojumu pārkāpuma procedūras lietā Nr. INFR(2023)2124, kurā norādīts, ka Latvija savos valsts tiesību aktos nav pareizi transponējusi Direktīvu. Paziņojumā norādīts, ka Latvija nav pilnībā transponējusi Direktīvas 24. panta 1. punkta otro daļu, kas noteic, ka tad, kad dalībvalstis pieņem direktīvas noteikumus, dalībvalstu tiesību aktos ir nepieciešams ietvert atsauci uz šo direktīvu vai arī šādu atsauci pievienot to oficiālajai publikācijai. Latvija minētajā tiesību normā ietvertās prasības ir transponējusi daļēji, ņemot vērā, ka atsauce uz Direktīvu nav ietverta Noteikumos Nr. 276, nepieciešami tehniski grozījumi, noteikumus papildinot ar informatīvu atsauci uz Direktīvu, jo Direktīvas prasības ir ieviestas ar 2018.gada 27.septembra grozījumiem Kriminālprocesa likumā (Latvijas Vēstnesis, 201, 11.10.2018. OP numurs: 2018/201.2).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Nr.276 papildināti ar informatīvo atsauci uz Direktīvu, norādot, ka noteikumos iekļautas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32016L0800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noteikt procesuālās garantijas, lai nodrošinātu, ka bērni, proti, personas, kuras nav sasniegušas 18 gadu vecumu un kuri ir aizdomās turētie vai apsūdzētie kriminālprocesā, spēj saprast šo procesu un tam sekot, un lai ļautu šiem bērniem īstenot savas tiesības uz taisnīgu tiesu, novērstu bērnu atkārtotus likumpārkāpumus un sekmētu viņu sociālo integrāciju.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11. maija Direktīva (ES) 2016/800 par procesuālajām garantijām bērniem, kuri ir aizdomās turētie vai apsūdzētie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Nr.276 10., 21., 22. un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prasības tika ieviestas ar 2018.gada 27.septembra grozījumiem Kriminālprocesa likumā (Latvijas Vēstnesis, 201, 11.10.2018. OP numurs: 2018/201.2).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Tāpat Direktīvas prasības ir ieviestas ar 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Apcietinājumā turēšanas kārtības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Aizturēto personu turēšanas kārtības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2024. gada 16. aprīļa noteikumiem Nr. 241 “Noteikumi par kārtību, kādā apgūstamas speciālās zināšanas bērnu tiesību aizsardzības jomā, šo zināšanu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Tāpat Direktīvas prasības tiks ieviestas ar šiem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Bērnu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Likumā "Par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2007. gada 27. novembra noteikumos Nr. 800 "Izmeklēšanas cietuma iekšējās kārtības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2006. gada 19. decembra noteikumos Nr. 1022 "Noteikumi par ieslodzīto personu uztura un sadzīves vajadzību materiālā nodrošinājuma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Ministru kabineta 2006. gada 11. aprīļa noteikumos Nr. 289 "Noteikumi par īslaicīgās aizturēšanas vietas kamerā glabāšanai atļauto priekšmetu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Ministru kabineta 2014. gada 20. maija noteikumos Nr. 252 "Kārtība, kādā policija noskaidro, vai bērnam ir īpašas vajadzības, pieaicina kompetentu speciālistu un nodrošina apstākļus bērna īpašo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Likumā "Par presi un citiem masu informācijas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Likumā "Kriminālprocesā un administratīvo pārkāpumu lietvedībā nodarītā kaitējuma atlīdzināšanas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2011. gada 5. aprīļa noteikumos Nr. 271 "Noteikumi par izvērtēšanas ziņojumā iekļaujamās informācijas apjomu un tā sastādīšanas un 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8.panta 1.-5. punkts</w:t>
            </w:r>
            <w:r w:rsidR="00000000" w:rsidRPr="00000000" w:rsidDel="00000000">
              <w:rPr>
                <w:sz w:val="24"/>
                <w:rtl w:val="0"/>
              </w:rPr>
              <w:t xml:space="preserve"> atbilst sekojošām tiesību aktu vienībām: Apcietinājumā turēšanas kārtības likuma 10. panta pirmajai un otrajai daļai, 22. panta pirmajai un otrajai daļai, 27.2 pantam, Aizturēto personu turēšanas kārtības likuma 3. un 9. pantam un </w:t>
            </w:r>
            <w:r w:rsidR="00000000" w:rsidRPr="00000000" w:rsidDel="00000000">
              <w:rPr>
                <w:sz w:val="24"/>
                <w:b w:val="1"/>
                <w:rtl w:val="0"/>
              </w:rPr>
              <w:t xml:space="preserve">Noteikumu Nr.276 10., 21., 22. un 23. punktam</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Noteikumu Nr.276 10.punkts n</w:t>
            </w:r>
            <w:r w:rsidR="00000000" w:rsidRPr="00000000" w:rsidDel="00000000">
              <w:rPr>
                <w:sz w:val="24"/>
                <w:rtl w:val="0"/>
              </w:rPr>
              <w:t xml:space="preserve">oteic, ka ieslodzītajam ierodoties ieslodzījuma vietā, ārstniecības persona triju dienu laikā pēc ierašanās vai nekavējoties pēc ieslodzījuma vietas priekšnieka dežurējošā palīga (turpmāk – dežurējošais palīgs) norādījuma veic ieslodzītā pirmreizējo veselības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Noteikumu Nr.276 21.punkts</w:t>
            </w:r>
            <w:r w:rsidR="00000000" w:rsidRPr="00000000" w:rsidDel="00000000">
              <w:rPr>
                <w:sz w:val="24"/>
                <w:rtl w:val="0"/>
              </w:rPr>
              <w:t xml:space="preserve"> noteic, ka primārās un sekundārās veselības aprūpes pakalpojumus ieslodzītais saņem atbilstoši ārstniecības personas nosūtījumam vai pēc savas iniciatīvas vēršoties pie ieslodzījuma vietas ārstiem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Noteikumu Nr.276 22.punkts</w:t>
            </w:r>
            <w:r w:rsidR="00000000" w:rsidRPr="00000000" w:rsidDel="00000000">
              <w:rPr>
                <w:sz w:val="24"/>
                <w:rtl w:val="0"/>
              </w:rPr>
              <w:t xml:space="preserve"> noteic, ka ieslodzītā plānveida sekundāro veselības aprūpi ieslodzījuma vietas ārstniecības persona veic ieslodzījuma vietas dienas kārtībā noteiktajā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Noteikumu Nr.276 23.punkts</w:t>
            </w:r>
            <w:r w:rsidR="00000000" w:rsidRPr="00000000" w:rsidDel="00000000">
              <w:rPr>
                <w:sz w:val="24"/>
                <w:rtl w:val="0"/>
              </w:rPr>
              <w:t xml:space="preserve"> noteic ka ieslodzītajam nav tiesību patstāvīgi pārvietoties pa ieslodzījuma vietas teritoriju, plānveida primārās un sekundārās veselības aprūpes saņemšanai uz ieslodzījuma vietas medicīnas daļu viņu nogādā par ieslodzītā uzraudzību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Minētie Noteikumu Nr.276 10., 21., 22. un 23.punkta nosacījumi atbilst Direktīvas 8.pants 1.-5.punktā noteiktajam</w:t>
            </w:r>
            <w:r w:rsidR="00000000" w:rsidRPr="00000000" w:rsidDel="00000000">
              <w:rPr>
                <w:sz w:val="24"/>
                <w:rtl w:val="0"/>
              </w:rPr>
              <w:t xml:space="preserve">,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dalībvalstis nodrošina, ka bērniem, kam ir atņemta brīvība, ir tiesības uz medicīnisku izmeklēšanu bez liekas kavēšanās ar mērķi, jo īpaši, izvērtēt viņu vispārējo garīgo un fizisko stāvokli. Medicīnisko izmeklēšanu veic mediķis vai cits kvalificēts profesionālis pēc iespējas saudzīgākā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medicīniskās izmeklēšanas rezultātus ņem vērā, nosakot, vai bērns var tikt pakļauts nopratināšanai vai citām izmeklēšanas vai pierādījumu vākšanas darbībām, vai jebkuriem pasākumiem, kas veikti vai plānoti attiecībā uz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medicīnisko izmeklēšanu veic vai nu pēc kompetento iestāžu iniciatīvas, jo īpaši gadījumos, kad konkrētas ar veselību saistītas norādes prasa šādu izmeklēšanu, vai pēc pieprasījuma, ko sniegusi kāda no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persona, kam ir vecāku atbildība, vai cits atbilstīgs pieaugušais, kā norādīts 5. un 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bērna advokāts.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medicīniskās izmeklēšanas secinājumus reģistrē rakstiski. Vajadzības gadījumā tiek sniegta medicīniska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dalībvalstis nodrošina, ka tiek veikta turpmāka medicīniskā izmeklēšana, ja apstākļi to prasa.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aktu projekts nemaina esošo regulējumu un neparedz ieviest jaunas politiskās iniciatīvas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24-TA-1307</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24-TA-1307</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anotācija_(ex_ante)_24-TA-1307.docx</dc:title>
</cp:coreProperties>
</file>

<file path=docProps/custom.xml><?xml version="1.0" encoding="utf-8"?>
<Properties xmlns="http://schemas.openxmlformats.org/officeDocument/2006/custom-properties" xmlns:vt="http://schemas.openxmlformats.org/officeDocument/2006/docPropsVTypes"/>
</file>