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"Valsts un Eiropas Savienības atbalsta piešķiršanas kārtība vietējām rīcības grupām starpteritoriālajai un starpvalstu sadarbībai saskaņā ar sabiedrības virzītas vietējās attīstības stratēģiju 2023.–2027. gada plānošanas periodam"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"Valsts un Eiropas Savienības atbalsta piešķiršanas kārtība vietējām rīcības grupām starpteritoriālai un starpvalstu sadarbībai saskaņā ar sabiedrības virzītas vietējās attīstības stratēģiju" (turpmāk – noteikumu projekts) ir sagatavots, pamatojoties uz Lauksaimniecības un lauku attīstības likuma 5. panta ceturto un septīto daļu, kā arī saskaņā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2021. gada 24. jūnija Regulu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Parlamenta un Padomes 2021. gada 2. decembra Regulu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 (turpmāk – regula 2021/2115);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Eiropas Parlamenta un Padomes 2021. gada 7. jūlija Regulu (ES) 2021/1139 ar ko izveido Eiropas Jūrlietu, zvejniecības un akvakultūras fondu un groza Regulu (ES) 2017/1004 (turpmāk – regula 2021/1139).</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noteikt kārtību, kādā piešķir valsts un Eiropas Savienības atbalstu Kopējās lauksaimniecības politikas stratēģiskā plāna 2023.-2027.gadam intervencē "Darbību īstenošana saskaņā ar sabiedrības virzītas vietējās attīstības stratēģiju, tostarp sadarbības aktivitātes un to sagatavošana" un Programmas zivsaimniecības attīstībai 2021.-2027.gadam darbības veidā "Sabiedrības virzītas vietējās attīstības stratēģiju īstenošana" noteiktās vietējo rīcības grupu starpteritoriālās un starpvalstu sadarbības veikšanai.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Jaunajā Kopējās lauksaimniecības politikas stratēģiskā plāna 2023.–2027. gadam (turpmāk – KLP SP) un Programmas zivsaimniecības attīstībai 2021 - 2027.gadam (turpmāk – programma zivsaimniecības attīstībai) plānošanas periodā, nepieciešami jauni Ministru kabineta noteikumi par kārtību, kādā piešķir valsts un Eiropas Savienības atbalstu, lai īstenotu sadarbību nacionālā un starptautiskā mērogā: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Lauksaimniecības fonda lauku attīstībai (turpmāk – ELFLA) līdzfinansētās KLP SP intervences "Darbību īstenošana saskaņā ar sabiedrības virzītas vietējās attīstības stratēģiju, tostarp sadarbības aktivitātes un to sagatavošana"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Jūrlietu, zvejniecības un akvakultūras fonda (turpmāk – EJZAF)  līdzfinansētās programmas zivsaimniecības attīstībai darbības veida "Sabiedrības virzītas vietējās attīstības stratēģiju īstenošana"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LEADER pieeja ir svarīgs nosacījums lauku teritoriju ilgtspējīgai attīstībai, īpaši mazapdzīvotās, attālās lauku teritorijās. Sadarbība ir viens no LEADER/ sabiedrības virzītas vietējās attīstības (turpmāk – SVVA) pieejas raksturojošajiem principiem, kā arī starpteritoriālās un starpvalstu sadarbības mērķi tiek noteikti vietējo rīcības grupu (turpmāk – VRG) sagatavotajās vietējās attīstības stratēģijās. Šobrīd Latvijā darbojas 33 VRG no kurām 6 saņem atbalstu gan no ELFLA, gan EJZAF.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noteikto pasākumu mērķis ir atbalstīt kopīgu sadarbību nacionālā un starptautiskā mērogā, lai sekmētu inovatīvu vai vietējās attīstības sekmējošu sadarbības ideju īstenošanu vietējās attīstības potenciāla un resursu ilgtspējīgai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atbalsta saņemšanas nosacījumus starpvalstu un starpteritoriālai sadarbībai, atbalsta apmēru un intensitāti, attiecināmās un neattiecināmās izmaksas, pieteikšanās kārtību, starpvalstu vai starpteritoriālās sadarbības projekta īstenošanas nosacījumus un atbalsta pieprasīšanas un maksāšanas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Jaunajā KLP SP un Programmas zivsaimniecības attīstībai plānošanas periodā nepieciešami jauni Ministru kabineta noteikumi, kuros noteikta valsts un Eiropas Savienības atbalsta piešķiršanas kārtība vietējām rīcības grupām starpteritoriālās un starpvalstu sadarbības īstenošanai. Lauku apvidi saskaras ar daudzveidīgiem izaicinājumiem, piemēram, apdzīvotības samazināšanās, sociālā iekļautība, nodarbinātība un ienākumu iespēju trūkums, digitālā plaisa, pamatpakalpojumu trūkums, zema uzņēmējdarbības aktivitāte lauku reģionos un problēmas maziem un vidējiem uzņēmumiem realizēt saražoto produkciju, savukārt iedzīvotāju skaita negatīvas izmaiņas piekrastes teritorijās ietekmē attiecīgā reģiona attīstību, un sekas ir darbavietu trūkums un otrādi - nodarbinātības iespēju pieejamība tiešā veidā ietekmē teritorijas apdzīvojumu. Vietējo rīcības grupu īstenota sadarbība starpteritoriālā un starptautiskā mērogā var sniegt ieguldījumu šo problēmu risināšanā.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LEADER pieeja ir svarīgs nosacījums, lai risinātu sarežģītos izaicinājumus, ar kuriem saskaras lauku apvidi, piekrastes teritorijas, un tā ir balstīta uz septiņiem, viens otru papildinošiem, principiem, no kuriem viens ir sadarbība. Starpteritoriālā un starpvalstu sadarbība sniedz iespēju iegūt zināšanas un apmainīties ar pieredzi, veicināt uzņēmējdarbības attīstību un nodarbinātību projektos iegūto zināšanu un pieredzes rezultātā, kā arī sekmēt jaunu un inovatīvu sadarbības ideju īstenošanu un viedo kopienu attīstību. Noteikumu projekts ir nepieciešams papildus spēkā esošajiem MK noteikumiem Nr. 509 par valsts un Eiropas Savienības atbalsta piešķiršanas kārtību sabiedrības virzītas vietējās attīstības stratēģiju 2023.–2027. gadam sagatavošanai un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Starpteritoriālā un starpvalstu sadarbība ir veids, kā paplašināt vietējo perspektīvu un attiecīgajā teritorijā ieviest jaunas zināšanas aktuālu jautājumu risināšanā, attīstīt jaunas un inovatīvas sadarbības idejas, starpvalstu līmenī nodot savas darbības pieredzi, zināšanas citiem un iegūt līdzīgu problēmu risinājumu pieredzi citviet, kā arī apvienot dažādas pieredzes kopīgu jautājumu risinājumu meklēšanā. Tas arī stiprina saikni starp projektā iesaistītām vietējām rīcības grupām, kā arī iesaistītiem mērķgrupas pārstāvjiem – uzņēmējiem, NVO u.c, kas potenciāli var kļūt par jauniem darījumu partneriem, piemēram, arī attīstot teritoriālos zīmolus, klasterus. Sadarbības projekts sekmē vietējās attīstības stratēģiju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mērķis ir atbalstīt kopīgu sadarbību nacionālā un starptautiskā mērogā, lai sekmētu inovatīvu vai vietējās attīstības sekmējošu sadarbības ideju īstenošanu vietējās attīstības potenciāla un resursu ilgtspējīgai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pretendents starpvalstu sadarbības projekta īstenošanai ir VRG, kurai ir piešķirts atbalsts vietējās attīstības stratēģijas īstenošanai noteiktā teritorijā. VRG īsteno starpvalstu sadarbības projektu kopā ar sadarbības partneri -  juridisku personu vai publisko un privāto partneru grupu, kas īsteno vietējās attīstības stratēģiju Eiropas Savienības dalībvalstī vai ārpus Eiropas Savienības. Ja sadarbības partneris ir juridiska persona, tad starpvalstu sadarbības projektā plānotajām darbībām jādod ieguldījumu ar sadarbības partneri saistītās publisko un privāto partneru grupas īstenotās vietējās attīstības stratēģijas mērķu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ka starpvalstu sadarbības projekts tiek īstenots gan VRG, gan sadarbības partnera darbības teritorijā, un tas ir atbilstošs VRG sagatavotajai vietējās attīstības stratēģijai, kā arī tā īstenošanas rezultātā tiek sekmēta vismaz viena stratēģijā noteiktā mērķa sasniegšana un radīts labums VRG un sadarbības partnera darbības teritorijas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Atbalstu starpteritoriālai sadarbībai ir tiesīga saņemt vietējā rīcības grupa kopīgas darbības īstenošanai ar citu vietējo rīcības grupu Latvijas teritorijā vai attiecībā uz KLP SP pasākumu arī ar vismaz diviem sadarbības dalībniekiem (juridiskām personām vai nereģistrētām iedzīvotāju grupām) viedo ciemu darbības veicināšanai savā darbības teritorijā. Starpteritoriālās sadarbības projekts tiek īstenots sadarbībā iesaistīto VRG un sadarbības dalībnieku darbības teritorijās un ir atbilstošs to sagatavotajām vietējās attīstības stratēģijām, kā arī tā īstenošanas rezultātā tiek sekmēta vismaz viena stratēģijā noteiktā mērķa sasniegšana un radīts labums VRG darbības teritoriju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Starpvalstu un starpteritoriālo sadarbību projekti ir sabiedriskā labuma projekti, kuru mērķim nav komerciāla rakstura un tie atbilst kritērijam "darbības tiek īstenotas kopīgās interesēs", šie projekti tiek atlasīti, pamatojoties uz daudzgadu vietējās attīstības stratēģiju, kuru izstrādā un īsteno vietējā rīcības grupa. Starpvalstu sadarbības projektu nevar īstenot viena komersanta interesēs.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Starpvalstu un starpteritoriālās sadarbības projektu kādu no kopīgajām darbībām var īstenot ārpus sadarbībā iesaistīto VRG darbības teritorijas, attiecībā uz programmas zivsaimniecības attīstībai pasākumu – izņemot Rīgas valstspilsētu, ja darbība attiecīgajā teritorijā ir pamatota sadarbības projektā un rada labumu sadarbībā iesaistītiem tiešiem labuma guvējiem, piemēram, apmeklēt kādu no zinātniskajām institūcijām, kas atrodas valstspilsētās. Viedo ciemu darbības veicināšanas projektiem, kurus VRG ar vismaz diviem sadarbības dalībniekiem īsteno savā darbības teritorijā, kāda no darbībām var tik īstenota arī citā Eiropas Savienības dalībvalstī, piemēram, lai sadarbībā iesaistītie viedie ciemi pārņemtu citu valstu viedo ciemu labo praksi. Ņemot vērā, ka programmas zivsaimniecības attīstībai ietvaros ir noteikts, ka EJZAF 3. prioritāte "Sekmēt ilgtspējīgu zilo ekonomiku piekrastes, salu un iekšzemes teritorijās un veicināt zvejniecības un akvakultūras kopienu attīstību" tiek īstenota Latvijas piekrastes teritorijā, kas ir pagasti, novadu pilsētas un valstspilsētas, kas robežojas ar Baltijas jūru vai Rīgas līci, izņemot Rīgas valstspilsētu, kurās izvietojušies vairāk kā 58% zivsaimniecībā nodarbināto, starpvalstu un starpteritoriālās sadarbības projekti nevar tikt īstenoti Rīgas valstspilsētā.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VRG ar sadarbības partneri ir noslēgts sadarbības līgums pirms starpvalstu vai starpteritoriālās sadarbības projekta īstenošanas un tajā ietver projekta nosaukumu un aprakstu, sadarbības partneru kontaktinformāciju, projekta koordinatoru, tiešos labuma guvējus un sasniedzamos rezultātus, u.c. informāciju atbilstoši noteikumu projektam.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VRG var saņemt atbalstu starpvalstu un starpteritoriālās sadarbības projekta tehniskai sagatavošanai, ja tā spēj pierādīt, ka tā plāno īstenot konkrētu sadarbības projektu. Projekta tehniskās sagatavošanas atbalstu nepiešķir viedo ciemu darbības veicināšanas projektiem, ja VRG tos īsteno tikai savā darbības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Maksimālais atbalsta apmērs starpvalstu vai starpteritoriālās sadarbības projekta īstenošanai, ietverot atbalstu projekta tehniskai sagatavošanai, nepārsniedz 100 000 </w:t>
      </w:r>
      <w:r w:rsidR="00000000" w:rsidRPr="00000000" w:rsidDel="00000000">
        <w:rPr>
          <w:i w:val="1"/>
          <w:rtl w:val="0"/>
        </w:rPr>
        <w:t xml:space="preserve">euro.</w:t>
      </w:r>
      <w:r w:rsidR="00000000" w:rsidRPr="00000000" w:rsidDel="00000000">
        <w:rPr>
          <w:rtl w:val="0"/>
        </w:rPr>
        <w:t xml:space="preserve"> Atbalsta intensitāte ir 100 procenti no kopējās attiecināmo izmaksu summas. Sadarbības līgumā un sadarbības projektā kādai no darbībām var noteikt arī privātā finansējuma ieguldījumu, līdz ar to konkrētai darbībai paredzot zemāku atbalsta intensitāti.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viedo ciemu darbības veicināšanas starpteritoriālās sadarbības projekta īstenošanai nepārsniedz 45 000 </w:t>
      </w:r>
      <w:r w:rsidR="00000000" w:rsidRPr="00000000" w:rsidDel="00000000">
        <w:rPr>
          <w:i w:val="1"/>
          <w:rtl w:val="0"/>
        </w:rPr>
        <w:t xml:space="preserve">euro</w:t>
      </w:r>
      <w:r w:rsidR="00000000" w:rsidRPr="00000000" w:rsidDel="00000000">
        <w:rPr>
          <w:rtl w:val="0"/>
        </w:rPr>
        <w:t xml:space="preserve"> un atbalsta intensitāte ir 100 procenti no kopējās attiecināmo izmaksu summas. Sadarbības līgumā un sadarbības projektā kādai no darbībām var noteikt arī privātā finansējuma ieguldījumu, līdz ar to konkrētai darbībai paredzot zemāku atbalsta intensitāti.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starpteritoriālās sadarbības projekta tehniskai sagatavošanai nepārsniedz 500 </w:t>
      </w:r>
      <w:r w:rsidR="00000000" w:rsidRPr="00000000" w:rsidDel="00000000">
        <w:rPr>
          <w:i w:val="1"/>
          <w:rtl w:val="0"/>
        </w:rPr>
        <w:t xml:space="preserve">euro</w:t>
      </w:r>
      <w:r w:rsidR="00000000" w:rsidRPr="00000000" w:rsidDel="00000000">
        <w:rPr>
          <w:rtl w:val="0"/>
        </w:rPr>
        <w:t xml:space="preserve">, bet starpvalstu sadarbības projektam - 4000</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VRG pirms iesnieguma sadarbības projekta tehniskai sagatavošanai vai sadarbības projekta iesniegšanas Lauku atbalsta dienestā veic sabiedrisko apspriešanu, informāciju publicējot savā tīmekļvietnē. Saņemtos iebildumus un priekšlikumus izskata lēmējinstitūcijā, pieņemot lēmumu par sadarbības projekta idejas (tehniskā sagatavošanas atbalsta gadījumā) vai sadarbības projekta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tiks ieviests  ar vienkāršoto izmaksu, t. i. - fiksētas summas maksājums ar budžeta projekta aprēķina metodi,  atbilstoši regulas 2021/2115 83. panta 1. punkta "c" apakšpunktā un 2. punkta "b" apakšpunktā un regulas 2021/1060 53. panta 1. punkta "c" un 3. punkta "b" apakšpunktā noteiktajam un saskaņā ar Zemkopības ministrijas sagatavotu metodiku fiksētās summas maksājuma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Vietējā rīcības grupa pirmo maksājuma pieprasījumu Lauku atbalsta dienestā iesniedz pirmajā projekta īstenošanas gadā pēc Lauku atbalsta dienesta lēmuma pieņemšanas par sadarbības projekta iesnieguma apstiprināšanu. Priekšfinansējumu  piešķir ne vairāk kā 50 procentu apmērā no sadarbības projekta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var īstenot pa posmiem, nosakot katrai darbībai vai vairāku darbību kopumam sasniedzamos rezultātus. Lai saņemtu maksājumu par projekta posma īstenošanu, VRG sagatavo maksājuma pieprasījumu un rezultātus pamatojošus dokumentus, un iesniedz tos Lauku atbalsta dienestā, bet ne vairāk kā piecas reizes sadarbības projekta īstenošanas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Netiešās attiecināmās izmaksas, kas paredzētas projekta vadības administratīvajām izmaksām projekta mērķa sasniegšanai, ir septiņi procenti no tiešajām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netiešās izmaksas ir projekta attiecināmās izmaksas, kas nav tieši saistītas ar projekta rezultātu sasniegšanu, bet atbalsta un nodrošina atbilstošus apstākļus projekta veicamo darbību īstenošanai un projekta rezultātu sasniegšanai. Tās ietver tehnisko nodrošinājumu projekta koordinēšanai un īstenošanas uzraudzībai, piemēram, transporta izdevumus, telpu nomu un telpu apsaimniekošanu (arī koplietošanas telpu un koplietošanas resursu izmantošanas izmaksu proporcionālu segšanu), sakaru pakalpojumus, kancelejas preču un biroja piederumu iegādes izmaksas, biroja aprīkojuma īres vai iegādes izmaksas, grāmatvedības izmaksas, kā arī juridisko pakalpojumu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Sadarbībā iesaistītās VRG nav tiesīgas saņemt atbalstu par tām pašām attiecināmajām izmaksām saskaņā ar normatīviem aktiem par valsts un Eiropas Savienības atbalsta piešķiršanas kārtību vietējo rīcības grupu darbības nodrošināšanai un sabiedrības virzītas vietējās attīstības stratēģijas 2023.–2027. gadam iedzīvināšanas pārvaldībai, uzraudzībai un novērtēšanai vai citos no pašvaldības, valsts vai Eiropas Savienības līdzekļiem finansēto programmu pasākumos. Tās nodrošina skaidru izmaksu un darbību nošķiršanu.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nevalstiskās organizācijas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ietvertais tiesiskais regulējums attieksies uz atbalsta saņēmējiem – vietējām rīcības grupām, t. i., biedrībām un nodibinājumiem, kam piešķirts atbalsts starpteritoriālu un starpvalstu sadarbības projektu sagatavošanai un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atbalsta pretendentu skaits plānošanas periodā: KLP SP intervencē ir 33 vietējās rīcības grupas, bet programmas zivsaimniecības attīstībai pasākumā– sešas vietējās rīcības grupas.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KLP SP un programmas zivsaimniecības attīstībai pasākumu mērķis pastarpināti ir vērsts arī uz nodarbinātības veicināšanu. Sadarbības projektu īstenošana, piemēram, saistībā ar tūrismu, kultūru, pievienoto vērtības radīšanu vietējiem produktiem, risinājumiem vides aizsardzības un sociālā jomā, jauniešu iesaisti un viedo ciemu iniciatīvām var kļūt par priekšnosacījumu jaunu tūrisma, kultūras, sociālās un citu saistītu pakalpojumu un produktu piedāvājuma attīstībai VRG darbības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KLP SP un programmas zivsaimniecības attīstībai pasākumi dod iespēju VRG pieteikties un saņemt atbalstu sadarbības projekta īstenošanai. Atbalsta izmantošana ir nevis pienākums, bet gan iespēja. Vērtējot sadarbības projektu iesnieguma sagatavošanas ietekmi uz administratīvajām procedūrām un to izmaksām, nav identificēts administratīvā sloga palielinājums VRG, jo noteikumu projekts paredz, ka VRG var saņemt atbalstu sadarbības projekta tehniskai sagatavošanai ar atbalsta intensitāti 100 procentu apmērā, tādējādi samazinot administratīvo izmaksu slogu uz paša atbalsta pretendenta budžetu. VRG saņem atbalstu arī darbības nodrošināšanai un sabiedrības virzītas vietējās attīstības stratēģijas 2023.–2027. gadam iedzīvināšanas pārvaldībai, uzraudzībai un novērtēšanai.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KLP SP un programmas zivsaimniecības attīstībai pasākumu administrēšanā iesaistītās institūcijas darbosies, izmantojot tām noteiktās štata vietas, un jaunas pastāvīgas štata vietas netiks izveidotas.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Starpvalstu un starpteritoriālās sadarbības projekti tiks īstenoti saskaņā ar sabiedrības virzītas vietējās attīstības stratēģijām 2023.–2027. gadam un tām pieejamo ELFLA un EJZAF (ja attiecas) atbalstu. To īstenošanai pieejamais finansējuma apmērs tika minēts Ministru kabineta 2022. gada 16. augusta noteikumu Nr. 509 "Valsts un Eiropas Savienības atbalsta piešķiršanas kārtība sabiedrības virzītas vietējās attīstības stratēģiju 2023.–2027. gadam sagatavošanai un īstenošanai" sākotnējās ietekmes (ex-ante) ziņojumā (anotācijā).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2021/1060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32021R2115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Regulas (ES) 2021/2115 (2021. gada 2. decembris),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2021/2115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32021R1139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7. jūlija Regulas (ES) 2021/1139, ar ko izveido Eiropas Jūrlietu, zvejniecības un akvakultūras fondu un groza Regulu (ES) 2017/1004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2021/1139</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2021/1060 31.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6.1.1.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2021/1060 31.panta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6.1.2.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2021/1060  31.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6.2.1.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2021/1060  31.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6.2.2.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2021/1060 53. panta 1. punkta "c" un 3.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2021/1060 55.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20.2.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2021/1060 54. panta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20.3.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2021/1060 64. panta 1. punkta "c" apakšpunkta "i"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22.1.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2021/1060  53. panta 1. punktā un 3. punktā paredzētā rīcības brīvība izmantota EJZAF atbalsta piešķiršanai starpvalstu vai starpteritoriālās sadarbības projektu īstenošanai, paredzot atbalsta saņemšanu kā fiksētas summas maksājumu, kas noteikts ar budžeta projekta aprēķina metodi. Konkrētā rīcības brīvība izmantota, lai vienkāršotu projektu faktisko izmaksu uzskaiti, pārejot no finanšu dokumentu pārbaudes uz sasniegto rezultātu pārbaudi un tā samazinot atbalsta saņēmējam administratīvo slogu, lai nodrošinātu projekta izmaksu uzskaiti un maksājuma pieprasījumu pamatojošās dokumentācijas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projektā tiek ieviesta regulas 2021/1060 54. pantā paredzētā rīcības brīvība un netiešās attiecināmās izmaksas noteiktas vienotas likmes veidā – septiņi procenti no tiešām attiecināmajām izmaksām, pamatojoties uz noteikumu projekta sagatavošanas laikā izdarītu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projektā tiek ieviesta regulas 2021/1060 55. panta 1. punktā paredzētā rīcības brīvība, piemērojot izmaksu vienoto likmi 10 procentu apmērā projekta vadības personāla atlīdzības izmaksām. Likme tika noteikta, pamatojoties uz noteikumu projekta sagatavošanas laikā izdarītu izvērtējumu, kā arī apspriežu rezultātiem.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nesatur nacionālās tehniskās prasības un nav paziņojams Eiropas Komisijai kā tehnisko noteikumu projekts atbilstoši Ministru kabineta 2010. gada 23. februāra instrukcijai Nr. 1 "Kārtība, kādā valsts pārvaldes iestādes sniedz informāciju par tehnisko noteikumu projektu" 4.1. apakšpunktu.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Regulas (ES) 2021/2115 (2021. gada 2. decembris),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2021/2115 6. 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8.3.1.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2021/2115 6. 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13.3.1.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2021/2115 83. panta 1. punkta "c" apakšpunktā un 2.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2021/2115 73.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22.20.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2021/2115  83. panta 1. punktā un 2. punktā paredzētā rīcības brīvība izmantota ELFLA atbalsta piešķiršanai starpvalstu vai starpteritoriālās sadarbības projektu īstenošanai, paredzot atbalsta saņemšanu kā fiksētas summas maksājumu, kas noteikts ar budžeta projekta aprēķina metodi. Konkrētā rīcības brīvība izmantota, lai vienkāršotu projektu faktisko izmaksu uzskaiti, pārejot no finanšu dokumentu pārbaudes uz sasniegto rezultātu pārbaudi un tā samazinot atbalsta saņēmējam administratīvo slogu, lai nodrošinātu projekta izmaksu uzskaiti un maksājuma pieprasījumu pamatojošās dokumentācijas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73. panta rīcības brīvība izmantota, lai noteiktu neattiecināmās izmaksas attiecībā uz Eiropas lauksaimniecības fonda lauku attīstībai stratēģiskā plāna pasākumu.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nesatur nacionālās tehniskās prasības un nav paziņojams Eiropas Komisijai kā tehnisko noteikumu projekts atbilstoši Ministru kabineta 2010. gada 23. februāra instrukcijai Nr. 1 "Kārtība, kādā valsts pārvaldes iestādes sniedz informāciju par tehnisko noteikumu projektu" 4.1. apakšpunktu.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7. jūlija Regulas (ES) 2021/1139, ar ko izveido Eiropas Jūrlietu, zvejniecības un akvakultūras fondu un groza Regulu (ES) 2017/1004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2021/1139 29.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8.3.2.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2021/1139 29.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13.3.2.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2021/1139 13.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22.20.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2021/1139 13. pantā paredzētā rīcības brīvība izmantota, lai noteiktu neattiecināmās izmaksas attiecībā uz EJZAF programmas zivsaimniecības attīstībai pasākumu.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nesatur nacionālās tehniskās prasības un nav paziņojams Eiropas Komisijai kā tehnisko noteikumu projekts atbilstoši Ministru kabineta 2010. gada 23. februāra instrukcijai Nr. 1 "Kārtība, kādā valsts pārvaldes iestādes sniedz informāciju par tehnisko noteikumu projektu" 4.1. apakšpunktu.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 Zemkopības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Vietējās rīcības grupas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tika nosūtīts vietējām rīcības grupām viedokļa sniegšanai, kā arī tika rīkota sanāksme, lai apspriestu sniegtos ierosinājumus un neskaidros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Vietējo rīcības grupu sniegtie priekšlikumi tika izvērtēti un iespēju robežās ņemti vērā noteikumu 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24-TA-1535</w:t>
    </w:r>
    <w:r>
      <w:br/>
    </w:r>
    <w:r w:rsidR="00000000" w:rsidRPr="00000000" w:rsidDel="00000000">
      <w:rPr>
        <w:rtl w:val="0"/>
      </w:rPr>
      <w:t xml:space="preserve">Izdrukāts 29.07.2026. 22.04 - 1.0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24-TA-1535</w:t>
    </w:r>
    <w:r>
      <w:br/>
    </w:r>
    <w:r w:rsidR="00000000" w:rsidRPr="00000000" w:rsidDel="00000000">
      <w:rPr>
        <w:rtl w:val="0"/>
      </w:rPr>
      <w:t xml:space="preserve">Izdrukāts 29.07.2026. 22.04 - 1.0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anotācija_(ex_ante)_24-TA-1535.docx</dc:title>
</cp:coreProperties>
</file>

<file path=docProps/custom.xml><?xml version="1.0" encoding="utf-8"?>
<Properties xmlns="http://schemas.openxmlformats.org/officeDocument/2006/custom-properties" xmlns:vt="http://schemas.openxmlformats.org/officeDocument/2006/docPropsVTypes"/>
</file>