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5. jūlija noteikumos Nr. 418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pirmās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2022. gada 5. jūlija noteikumos Nr. 418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pirmās kārtas īstenošanas noteikumi" (turpmāk - MK noteikumu projekts) izstrādāts, lai precizētu pieejamo finansējumu un veiktu tehniskus precizējumus.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mērķis ir precizēt pieejamo finansējumu un veiktu tehniskus precizējumus, lai nodrošinātu pilnīgu Atveseļošanas fonda finansējuma ieguldīšanu.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5. jūlija noteikumu Nr. 418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pirmās kārtas īstenošanas noteikumi" (turpmāk - Noteikumi Nr.418) mērķis ir palielināt privātos pētniecības un attīstības izdevumus, izmantojot mērķtiecīgus valsts ieguldījumus, kas veicina jaunu produktu un tehnoloģiju attīstību, kā arī zināšanu nodošanu ekonomikā. Atbalsta programma paredz sniegt sīkiem (mikro), maziem, vidējiem un lieliem komersantiem, tai skaitā valsts kapitālsabiedrībām un pētniecības un zināšanu izplatīšanas organizācijām atbalstu līdz 25 % no kompetences centra apstiprinātā publiskā finansējuma apmēra (pētniecības aktivitātēm).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komitejā 2025. gada 28. augustā ir pieņemts lēmums atļaut nozaru ministrijām identificētos atlikumus izmantot savas nozares Atveseļošanas fonda projektu īstenošanai. Līdz ar to, Noteikumu Nr.418 ietvaros nesadalītais finansējums (473 223 </w:t>
      </w:r>
      <w:r w:rsidR="00000000" w:rsidRPr="00000000" w:rsidDel="00000000">
        <w:rPr>
          <w:i w:val="1"/>
          <w:rtl w:val="0"/>
        </w:rPr>
        <w:t xml:space="preserve">euro</w:t>
      </w:r>
      <w:r w:rsidR="00000000" w:rsidRPr="00000000" w:rsidDel="00000000">
        <w:rPr>
          <w:rtl w:val="0"/>
        </w:rPr>
        <w:t xml:space="preserve">) tiek novirzīts Atveseļošanas fonda 3.1.1.7.i. investīcijai "Aizdevumi nekustamā īpašuma attīstītājiem zemas īres maksas mājokļu būvniecībai" un nepieciešams veikt attiecīgus precizējumus, samazinot Noteikumu Nr.418 ietvaros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Noteikumos Nr.418 iekļautas atsauces uz Saimniecisko darbību statistiskā klasifikācija Eiropas Kopienā, 2. redakciju, kas 2024. gada 31. decembrī beigusi darbību. No 2025. gada 1. janvāra tiek piemērota Saimniecisko darbību statistiskā klasifikācija Eiropas Kopienā, 2.1. redakcija (turpmāk - NACE 2.1. redakcija), ko nepieciešams iekļaut Noteikumos Nr.418.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Ekonomikas ministrijas ierosinājuma MK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precizēt Noteikumu Nr.418 pieejamo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fondu komitejas 2025. gada 28. augusta pieņemtā lēmuma izpildi, kas ietver Ekonomikas ministrijas identificētā Atveseļošanas fonda atlikumu - 473 223 </w:t>
      </w:r>
      <w:r w:rsidR="00000000" w:rsidRPr="00000000" w:rsidDel="00000000">
        <w:rPr>
          <w:i w:val="1"/>
          <w:rtl w:val="0"/>
        </w:rPr>
        <w:t xml:space="preserve">euro</w:t>
      </w:r>
      <w:r w:rsidR="00000000" w:rsidRPr="00000000" w:rsidDel="00000000">
        <w:rPr>
          <w:rtl w:val="0"/>
        </w:rPr>
        <w:t xml:space="preserve"> apmērā, novirzīšanu Atveseļošanas fonda 3.1.1.7.i. investīcijai "Aizdevumi nekustamā īpašuma attīstītājiem zemas īres maksas mājokļu būvniecībai", nepieciešams precizēt Noteikumus Nr.418 5. punktu, nosakot, ka pieejamais finansējums ir 24 526 777 </w:t>
      </w:r>
      <w:r w:rsidR="00000000" w:rsidRPr="00000000" w:rsidDel="00000000">
        <w:rPr>
          <w:i w:val="1"/>
          <w:rtl w:val="0"/>
        </w:rPr>
        <w:t xml:space="preserve">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pārskatījusi tautsaimniecības prioritātes un nolēmusi Noteikumu Nr.418 ietvaros brīvo finansējumu pārvirzīt 3.1.1.7. investīcijas "Aizdevumi nekustamā īpašuma attīstītājiem zemas īres maksas mājokļu būvniecībai"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lēmums pieņemts, ņemot vērā 3.1.1.7 investīcijas būtisko nozīmi reģionālās attīstības veicināšanā. Investīcija ir vērsta uz zemas īres maksas mājokļu būvniecību ārpus Rīgas un Pierīgas reģiona, tādējādi sekmējot sabalansētu teritoriju attīstību, mazinot reģionālās atšķirības un veicinot iedzīvotāju dzīves kvalitātes uzlabošanos visā Latvijā. 3.1.1.7.i. investīcija atbilst šī brīža valdības uzsvaram uz reģionu attīstību un ilgtspējīgu mājokļu pieejamību, kas ir būtisks priekšnosacījums ekonomiskās aktivitātes veicināšanai ārpus galvaspilsētas.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Nr.418 ietvaros ir noteikts intervences lauks “008 - Pētniecības un inovācijas pasākumi”. Kods pēc būtības nosaka, ka projekts galvenokārt vērsts uz pētniecības un inovācijas pasākumu kopumu, lai izstrādātu jaunu produktu, tehnoloģiju un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pārņemt NACE 2.1.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dažādu valstu statistika būtu salīdzināma Eiropas Savienībā (ES) pastāv divas klasifikācijas sistēmas – 2010. gada Eiropas Kontu sistēmu (EKS2010) un ES Saimniecisko darbību statistiskā klasifikācija jeb NACE, – saskaņā ar kurām iespējams klasificēt institucionālās vienības un tautsaimniecības sektorus.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NACE 2.red. klasifikācija tika izstrādāta un apstiprināta ar 2006. gada 20. decembra Eiropas Parlamenta un Padomes regulu (EK) Nr. 1893/2006, ar ko izveido NACE 2. red. saimniecisko darbību statistisko klasifikāciju, kā arī groza Padomes Regulu (EEK) Nr. 3037/90 un dažas EK regulas par īpašām statistikas jomām, kas 2024. gada 31. decembrī beidza savu darbību. No 2025. gada 1. janvāra NACE 2. red. tika atjaunināta, lai ņemtu vērā tehnoloģiju un ekonomikas attīstību un nodrošinātu tās saskaņotību ar citām ekonomiskajām un sociālajām klasifikācijām, kā rezultātā spēkā stājās NACE 2.1. redakcija, kas izklāstīta Komisijas deleģētajā (ES) 2022. gada 10 oktobra Regulā Nr. 2023/137, ar kuru groza Regulu (EK) Nr. 1893/2006, ar ko izveido saimniecisko darbību statistisko klasifikāciju. Ņemot vērā minēto, tiek precizēts Noteikumu Nr.418 110.</w:t>
      </w:r>
      <w:r w:rsidR="00000000" w:rsidRPr="00000000" w:rsidDel="00000000">
        <w:rPr>
          <w:vertAlign w:val="superscript"/>
          <w:rtl w:val="0"/>
        </w:rPr>
        <w:t xml:space="preserve">2</w:t>
      </w:r>
      <w:r w:rsidR="00000000" w:rsidRPr="00000000" w:rsidDel="00000000">
        <w:rPr>
          <w:rtl w:val="0"/>
        </w:rPr>
        <w:t xml:space="preserve">1., 110.</w:t>
      </w:r>
      <w:r w:rsidR="00000000" w:rsidRPr="00000000" w:rsidDel="00000000">
        <w:rPr>
          <w:vertAlign w:val="superscript"/>
          <w:rtl w:val="0"/>
        </w:rPr>
        <w:t xml:space="preserve">2</w:t>
      </w:r>
      <w:r w:rsidR="00000000" w:rsidRPr="00000000" w:rsidDel="00000000">
        <w:rPr>
          <w:rtl w:val="0"/>
        </w:rPr>
        <w:t xml:space="preserve">2., 110.</w:t>
      </w:r>
      <w:r w:rsidR="00000000" w:rsidRPr="00000000" w:rsidDel="00000000">
        <w:rPr>
          <w:vertAlign w:val="superscript"/>
          <w:rtl w:val="0"/>
        </w:rPr>
        <w:t xml:space="preserve">2</w:t>
      </w:r>
      <w:r w:rsidR="00000000" w:rsidRPr="00000000" w:rsidDel="00000000">
        <w:rPr>
          <w:rtl w:val="0"/>
        </w:rPr>
        <w:t xml:space="preserve">3., 110.</w:t>
      </w:r>
      <w:r w:rsidR="00000000" w:rsidRPr="00000000" w:rsidDel="00000000">
        <w:rPr>
          <w:vertAlign w:val="superscript"/>
          <w:rtl w:val="0"/>
        </w:rPr>
        <w:t xml:space="preserve">2</w:t>
      </w:r>
      <w:r w:rsidR="00000000" w:rsidRPr="00000000" w:rsidDel="00000000">
        <w:rPr>
          <w:rtl w:val="0"/>
        </w:rPr>
        <w:t xml:space="preserve">4., 110.</w:t>
      </w:r>
      <w:r w:rsidR="00000000" w:rsidRPr="00000000" w:rsidDel="00000000">
        <w:rPr>
          <w:vertAlign w:val="superscript"/>
          <w:rtl w:val="0"/>
        </w:rPr>
        <w:t xml:space="preserve">2</w:t>
      </w:r>
      <w:r w:rsidR="00000000" w:rsidRPr="00000000" w:rsidDel="00000000">
        <w:rPr>
          <w:rtl w:val="0"/>
        </w:rPr>
        <w:t xml:space="preserve">5. un 110.</w:t>
      </w:r>
      <w:r w:rsidR="00000000" w:rsidRPr="00000000" w:rsidDel="00000000">
        <w:rPr>
          <w:vertAlign w:val="superscript"/>
          <w:rtl w:val="0"/>
        </w:rPr>
        <w:t xml:space="preserve">2</w:t>
      </w:r>
      <w:r w:rsidR="00000000" w:rsidRPr="00000000" w:rsidDel="00000000">
        <w:rPr>
          <w:rtl w:val="0"/>
        </w:rPr>
        <w:t xml:space="preserve">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neietekmēs Noteikumu Nr.418 ietvaros atlasītos finansējuma saņēmējus un Atveseļošanas fonda rādītāja Nr.158 izpildi, atbilstoši Atveseļošanas fonda Darbības kārtībai, par kuru vienojušās Eiropas Komisija un Latvija.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7 064 026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2 318 435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7 064 026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2 318 435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7 064 026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2 318 435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7 064 026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2 318 435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Pamatojoties uz to, ka Eiropas Savienības fondu tematiskās komitejas 2025. gada 28. augusta sēdē tika atbalstīts priekšlikums, kas ietver Ekonomikas ministrijas identificēto atlikumu izmantošanu savas nozares Atveseļošanas fonda projektu īstenošanai. Noteikumu Nr.418 identificētais atlikums - 473 223 </w:t>
            </w:r>
            <w:r w:rsidR="00000000" w:rsidRPr="00000000" w:rsidDel="00000000">
              <w:rPr>
                <w:sz w:val="24"/>
                <w:i w:val="1"/>
                <w:rtl w:val="0"/>
              </w:rPr>
              <w:t xml:space="preserve">euro </w:t>
            </w:r>
            <w:r w:rsidR="00000000" w:rsidRPr="00000000" w:rsidDel="00000000">
              <w:rPr>
                <w:sz w:val="24"/>
                <w:rtl w:val="0"/>
              </w:rPr>
              <w:t xml:space="preserve">apmērā, tiek novirzīts Atveseļošanas fonda 3.1.1.7.i. investīcijai "Aizdevumi nekustamā īpašuma attīstītājiem zemas īres maksas mājokļu būvniecībai".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Nr.418 ietvaros kopējais pieejamais finansējums pēc finansējuma pārdales ir 24 526 777 </w:t>
            </w:r>
            <w:r w:rsidR="00000000" w:rsidRPr="00000000" w:rsidDel="00000000">
              <w:rPr>
                <w:sz w:val="24"/>
                <w:i w:val="1"/>
                <w:rtl w:val="0"/>
              </w:rPr>
              <w:t xml:space="preserve">euro</w:t>
            </w:r>
            <w:r w:rsidR="00000000" w:rsidRPr="00000000" w:rsidDel="00000000">
              <w:rPr>
                <w:sz w:val="24"/>
                <w:rtl w:val="0"/>
              </w:rPr>
              <w:t xml:space="preserve">, ko 100 procentu apmērā sastāda ANM finansējums. Investīcijas izdevumu attiecināmības termiņš ir līdz 2027.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Provizoriskais finansējuma izlietojums pa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2023.gads – 2 718 948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2024.gads – 12 425 368 </w:t>
            </w:r>
            <w:r w:rsidR="00000000" w:rsidRPr="00000000" w:rsidDel="00000000">
              <w:rPr>
                <w:sz w:val="24"/>
                <w:i w:val="1"/>
                <w:rtl w:val="0"/>
              </w:rPr>
              <w:t xml:space="preserve">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 – 7 064 026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2026.gads – 2 318 435 </w:t>
            </w:r>
            <w:r w:rsidR="00000000" w:rsidRPr="00000000" w:rsidDel="00000000">
              <w:rPr>
                <w:sz w:val="24"/>
                <w:i w:val="1"/>
                <w:rtl w:val="0"/>
              </w:rPr>
              <w:t xml:space="preserve">euro</w:t>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2025. gadam un budžeta ietvaru 2025., 2026. un 2027. gadam” Finanšu ministrijas budžeta apakšprogrammā 74.07.00 “Atveseļošanas un noturības mehānisma (ANM) finansējums projektu un pasākumu īstenotājiem” ir ieplānots finansējums Noteikumu Nr.418 īstenošanai 2025. gadam 7 064 026 </w:t>
      </w:r>
      <w:r w:rsidR="00000000" w:rsidRPr="00000000" w:rsidDel="00000000">
        <w:rPr>
          <w:i w:val="1"/>
          <w:rtl w:val="0"/>
        </w:rPr>
        <w:t xml:space="preserve">euro </w:t>
      </w:r>
      <w:r w:rsidR="00000000" w:rsidRPr="00000000" w:rsidDel="00000000">
        <w:rPr>
          <w:rtl w:val="0"/>
        </w:rPr>
        <w:t xml:space="preserve">un 2026.gadam 2 318 435 </w:t>
      </w:r>
      <w:r w:rsidR="00000000" w:rsidRPr="00000000" w:rsidDel="00000000">
        <w:rPr>
          <w:i w:val="1"/>
          <w:rtl w:val="0"/>
        </w:rPr>
        <w:t xml:space="preserve">euro</w:t>
      </w:r>
      <w:r w:rsidR="00000000" w:rsidRPr="00000000" w:rsidDel="00000000">
        <w:rPr>
          <w:rtl w:val="0"/>
        </w:rPr>
        <w:t xml:space="preserve">, 2024. gadā izmantotais finansējums - 12 425 368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473 223 </w:t>
      </w:r>
      <w:r w:rsidR="00000000" w:rsidRPr="00000000" w:rsidDel="00000000">
        <w:rPr>
          <w:i w:val="1"/>
          <w:rtl w:val="0"/>
        </w:rPr>
        <w:t xml:space="preserve">euro</w:t>
      </w:r>
      <w:r w:rsidR="00000000" w:rsidRPr="00000000" w:rsidDel="00000000">
        <w:rPr>
          <w:rtl w:val="0"/>
        </w:rPr>
        <w:t xml:space="preserve"> apmērā no Noteikumiem Nr.418 tiek novirzīts Eiropas Savienības Atveseļošanas un noturības mehānisma plāna 3.1. reformu un investīciju virziena "Reģionālā politika" 3.1.1.7.i. investīcijai "Aizdevumi nekustamā īpašuma attīstītājiem zemas īres maksas mājokļu būvniecībai".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tiks nodrošināta Tiesību aktu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25-TA-2401</w:t>
    </w:r>
    <w:r>
      <w:br/>
    </w:r>
    <w:r w:rsidR="00000000" w:rsidRPr="00000000" w:rsidDel="00000000">
      <w:rPr>
        <w:rtl w:val="0"/>
      </w:rPr>
      <w:t xml:space="preserve">Izdrukāts 29.07.2026. 23.17 - 1.0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25-TA-2401</w:t>
    </w:r>
    <w:r>
      <w:br/>
    </w:r>
    <w:r w:rsidR="00000000" w:rsidRPr="00000000" w:rsidDel="00000000">
      <w:rPr>
        <w:rtl w:val="0"/>
      </w:rPr>
      <w:t xml:space="preserve">Izdrukāts 29.07.2026. 23.17 - 1.0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anotācija_(ex_ante)_25-TA-2401.docx</dc:title>
</cp:coreProperties>
</file>

<file path=docProps/custom.xml><?xml version="1.0" encoding="utf-8"?>
<Properties xmlns="http://schemas.openxmlformats.org/officeDocument/2006/custom-properties" xmlns:vt="http://schemas.openxmlformats.org/officeDocument/2006/docPropsVTypes"/>
</file>