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un Eiropas Savienības fondu 2021.—2027. gada plānošanas perioda vadības likuma 19. panta 6. un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 - 2027. gada plānošanas perioda vadības likuma 19. panta 6. un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profilaktiski un medicīniski novēršamo nāves gadījumu skaitu, ir būtiski uzlabojama veselības aprūpes pakalpojumu pieejamība un kvalitāte, paredzot ieguldījumus ārstniecības iestāžu attīstībai visos aprūpes līmeņos, atbilstoši pakalpojumu kartējumam, veselības aprūpes pakalpojumu attīstībai pieejamiem cilvēkresursiem un finanšu resursiem, t.sk. nodrošinot ārstniecības iestāžu gatavību potenciālo sabiedrības veselības krīžu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ārstniecības iestāžu attīstībai visos līmeņos vērstas uz Eiropas Savienības padomes rekomendācijām Latvijai 2019. gadam veselības jomā un Sabiedrības veselības pamatnostādnēs 2021.–2027. gadam paredzēto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ilgtspējīgus un saskaņotus pasākumus starp visiem plānotajiem finanšu atbalsta mehānismiem 2022. gada 14. jūlijā Ministru kabinets ir apstiprinājis informatīvo ziņojumu “Par veselības aprūpes nodrošināšanas infrastruktūras attīstības investīciju stratēģiju 2021.-2027. gadam” protokollēmums Nr.36/105.§ (22-TA-1198) (https://tapportals.mk.gov.lv/legal_acts/c9e99f49-7a1e-42a6-8002-31b1cc66dc96) (turpmāk – infrastruktūras investīciju stratēģija), kurā atspoguļota situācija veselības aprūpes pakalpojumu sniegšanas vietu kartējums visos aprūpes līmeņos un noteikti lielākie izaicinājumi galvenajiem veselības aprūpes pakalpojumu (infrastruktūras) attīstības virzieniem, vai noteikti secīgie virzības soļi.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tiks īstenota Eiropas Savienības Kohēzijas politikas programmas 2021. – 2027. gadam 4.1.1. specifiskā atbalsta mērķa "Nodrošināt vienlīdzīgu piekļuvi veselības aprūpei un stiprināt veselības sistēmu, tostarp primārās veselības aprūpes noturību" (turpmāk – SAM) 4.1.1.1. pasākuma "Ārstniecības iestāžu infrastruktūras attīstība" (turpmāk – 4.1.1.1.pasākums) un 4.1.1.2. pasākuma "P.Stradiņa klīniskās universitātes slimnīcas infrastruktūras attīstība" (turpmāk – 4.1.1.2. pasākums), 4.1.1.5 pasākuma “Neatliekamās medicīniskās palīdzības dienesta attīstība” (turpmāk visi kopā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243 890 286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207 306 743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ir 36 583 543 </w:t>
      </w:r>
      <w:r w:rsidR="00000000" w:rsidRPr="00000000" w:rsidDel="00000000">
        <w:rPr>
          <w:i w:val="1"/>
          <w:rtl w:val="0"/>
        </w:rPr>
        <w:t xml:space="preserve">euro</w:t>
      </w:r>
      <w:r w:rsidR="00000000" w:rsidRPr="00000000" w:rsidDel="00000000">
        <w:rPr>
          <w:rtl w:val="0"/>
        </w:rPr>
        <w:t xml:space="preserve">, un pieejamais kopējais attiecināmais finansējums ir 197 207 993 </w:t>
      </w:r>
      <w:r w:rsidR="00000000" w:rsidRPr="00000000" w:rsidDel="00000000">
        <w:rPr>
          <w:i w:val="1"/>
          <w:rtl w:val="0"/>
        </w:rPr>
        <w:t xml:space="preserve">euro</w:t>
      </w:r>
      <w:r w:rsidR="00000000" w:rsidRPr="00000000" w:rsidDel="00000000">
        <w:rPr>
          <w:rtl w:val="0"/>
        </w:rPr>
        <w:t xml:space="preserve">, tai skaitā ERAF finansējums – 167 626 794 </w:t>
      </w:r>
      <w:r w:rsidR="00000000" w:rsidRPr="00000000" w:rsidDel="00000000">
        <w:rPr>
          <w:i w:val="1"/>
          <w:rtl w:val="0"/>
        </w:rPr>
        <w:t xml:space="preserve">euro</w:t>
      </w:r>
      <w:r w:rsidR="00000000" w:rsidRPr="00000000" w:rsidDel="00000000">
        <w:rPr>
          <w:rtl w:val="0"/>
        </w:rPr>
        <w:t xml:space="preserve"> apmērā un nacionālais finansējums, kas iekļauj valsts budžeta un privāto finansējumu, 29 581 199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18. un 86. pantā noteikto 4.1.1. SAM elastības finansējums tiek noteikts 4.1.1.2. pasākuma ietvaros. Attiecīgi 4.1.1.2. pasākumam noteikts pieejamais un plānotais finansējums. Veselības ministrija kā atbildīgā iestāde (turpmāk – atbildīgā iestāde), pēc Eiropas Komisijas (turpmāk – EK) lēmuma par vidusposma pārskata, var ierosināt palielināt 4.1.1.2. pasākumam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1148"/>
        <w:gridCol w:w="4459"/>
        <w:gridCol w:w="1651"/>
        <w:gridCol w:w="1781"/>
        <w:tblGridChange w:id="0">
          <w:tblGrid>
            <w:gridCol w:w="1148"/>
            <w:gridCol w:w="4459"/>
            <w:gridCol w:w="1651"/>
            <w:gridCol w:w="17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(ieskaitot elastības finansējumu),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(BEZ elastības finansējuma),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 (1. - 4.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92 019 771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92 019 771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128 507 454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88 827 505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Primārās veselības aprūpes lomas stiprināšana, attīstot infrastruktūru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10 461 001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10 461 001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Hroniski slimo un nedziedināmi slimo pacientu aprūpei nepieciešamās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13 618 057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13 618 057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SAM 4.1.1. visu pasākumu (izņemot 4.1.1.4. Veselības aprūpes pārvaldības sistēmas stiprināšana un digitalizācija, attīstot digitālos risinājumus) elastības finansējuma novirzīšana uz 4.1.1.2. pasākumu nozīmē, ka Centrālā finanšu un līgumu aģentūra (turpmāk – CFLA) un VSIA "Paula Stradiņa klīniskā universitātes slimnīca" līgumu par projekta īstenošanu var slēgt tikai par pieejamo finansējumu  - 104 502 947 </w:t>
      </w:r>
      <w:r w:rsidR="00000000" w:rsidRPr="00000000" w:rsidDel="00000000">
        <w:rPr>
          <w:i w:val="1"/>
          <w:rtl w:val="0"/>
        </w:rPr>
        <w:t xml:space="preserve">euro</w:t>
      </w:r>
      <w:r w:rsidR="00000000" w:rsidRPr="00000000" w:rsidDel="00000000">
        <w:rPr>
          <w:rtl w:val="0"/>
        </w:rPr>
        <w:t xml:space="preserve">, savukārt viss plānotais finansējums - 151 185 240 </w:t>
      </w:r>
      <w:r w:rsidR="00000000" w:rsidRPr="00000000" w:rsidDel="00000000">
        <w:rPr>
          <w:i w:val="1"/>
          <w:rtl w:val="0"/>
        </w:rPr>
        <w:t xml:space="preserve">euro</w:t>
      </w:r>
      <w:r w:rsidR="00000000" w:rsidRPr="00000000" w:rsidDel="00000000">
        <w:rPr>
          <w:rtl w:val="0"/>
        </w:rPr>
        <w:t xml:space="preserve"> apmērā būs pieejams tikai pēc 2024. gada vidusposma pārskata iesniegšanas EK un elastīguma summas pārskatīšanas, provizoriski tikai 2026. gadā. Lai iekļautos B korpusa attīstības projekta Eiropas Savienības (turpmāk – ES) fondu 2021.-2027. gada plānošanas perioda attiecināmības termiņā līdz 2029. gada 31. decembrim, būvdarbu līgums ar </w:t>
      </w:r>
      <w:r w:rsidR="00000000" w:rsidRPr="00000000" w:rsidDel="00000000">
        <w:rPr>
          <w:i w:val="1"/>
          <w:rtl w:val="0"/>
        </w:rPr>
        <w:t xml:space="preserve">Publisko iepirkumu likuma</w:t>
      </w:r>
      <w:r w:rsidR="00000000" w:rsidRPr="00000000" w:rsidDel="00000000">
        <w:rPr>
          <w:rtl w:val="0"/>
        </w:rPr>
        <w:t xml:space="preserve"> ietvaros atklāta konkursa rezultātā izvēlēto izpildītāju par summu, kas pārsniedz 4.1.1.2. pasākumam līguma slēgšanai pirms vidusposma izvērtējuma pieejamo finansējumu ir jāparaksta ne vēlāk kā 2024. gada sākumā. Attiecīgi šāda liela, nedalāma būvdarbu attīstības projekta finansējuma pieejamības dalīšana pirms un pēc vidussposma nav pieļaujama un rada riskus ES fondu apguvei vispār. Tāpat slimnīca nodrošina valsts nozīmes tautsaimniecības veselības aprūpes pakalpojumus, un nav pieļaujama slimnīcas finanšu rādītāju pasliktināšana, piemēram aizņemoties rezerves finansējumu, tāpat tās peļņa ir strikti ierobežota atbilstoši </w:t>
      </w:r>
      <w:r w:rsidR="00000000" w:rsidRPr="00000000" w:rsidDel="00000000">
        <w:rPr>
          <w:i w:val="1"/>
          <w:rtl w:val="0"/>
        </w:rPr>
        <w:t xml:space="preserve">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nosacījumiem, proti ieņēmumi par VTNP pakalpojumiem nedrīkst pārsniegt izdevumus par VTNP pakalpojumiem, izņemot saprātīgas peļņas procentu</w:t>
      </w:r>
      <w:r w:rsidR="00000000" w:rsidRPr="00000000" w:rsidDel="00000000">
        <w:rPr>
          <w:vertAlign w:val="superscript"/>
          <w:rtl w:val="0"/>
        </w:rPr>
        <w:t xml:space="preserve">[1]</w:t>
      </w:r>
      <w:r w:rsidR="00000000" w:rsidRPr="00000000" w:rsidDel="00000000">
        <w:rPr>
          <w:rtl w:val="0"/>
        </w:rPr>
        <w:t xml:space="preserve">. Tādejādi noteikumu projektam ir pievienots protokollēmums, kurš paredz noteikt atļaut CFLA pirms EK lēmuma par vidusposma pārskatu slēgt līgumus par slimnīcu par kopējo plānoto finansējumu 151 185 240 </w:t>
      </w:r>
      <w:r w:rsidR="00000000" w:rsidRPr="00000000" w:rsidDel="00000000">
        <w:rPr>
          <w:i w:val="1"/>
          <w:rtl w:val="0"/>
        </w:rPr>
        <w:t xml:space="preserve">euro</w:t>
      </w:r>
      <w:r w:rsidR="00000000" w:rsidRPr="00000000" w:rsidDel="00000000">
        <w:rPr>
          <w:rtl w:val="0"/>
        </w:rPr>
        <w:t xml:space="preserve">. Tāpat noteikts, pieņemt zināšanai, ka starpību starp 4.1.1.2. pasākumam pieejamo kopējo finansējumu un līdz EK lēmuma par vidusposma pārskata apstiprināšanas plānoto kopējo finansējumu 104 502 947 </w:t>
      </w:r>
      <w:r w:rsidR="00000000" w:rsidRPr="00000000" w:rsidDel="00000000">
        <w:rPr>
          <w:i w:val="1"/>
          <w:rtl w:val="0"/>
        </w:rPr>
        <w:t xml:space="preserve">euro</w:t>
      </w:r>
      <w:r w:rsidR="00000000" w:rsidRPr="00000000" w:rsidDel="00000000">
        <w:rPr>
          <w:rtl w:val="0"/>
        </w:rPr>
        <w:t xml:space="preserve"> nodrošināt no valsts budžeta virssaistībām.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un 4.1.1.2. pasākuma ietvaros Finansējuma saņēmēji noteikti noteikumu pielikumā saskaņā ar Ministru kabineta 2018. gada 28. augusta noteikumiem Nr. 555 “Veselības aprūpes pakalpojumu organizēšanas un samaksas kārtība” (turpmāk - MK noteikumi Nr.555)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 līmeņa stacionārā ārstniecības iestādes (klīniskās universitātes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IV līmeņa stacionārās ārstniecības iestādes (reģionālās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"Liepājas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"Ziemeļkurzemes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"Vidzemes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"Daugavpils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SIA "Rēzeknes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SIA "Jēkabpils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"Jelgavas pilsētas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 līmeņa specializētās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VSIA "Traumatoloģijas un ortopēdijas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SIA "Rīgas Dzemdību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VSIA "Nacionālais rehabilitācijas centrs "Vaivari"",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sniedz sekundāros ambulatoros un stacionāros veselības aprūpes pakalpojumus un nodrošina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Valsts tiesu medicīnas ekspertīzes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veselības ministra pakļautībā esoša tiešās pārvaldes iestāde, kuras darbības mērķis ir tiesu medicīnisko un bioloģisko ekspertīžu un izpētes nodrošināšana, ārstniecības iestāžu nodrošināšana ar audu transplantātiem, zinātniskās pētniecības veikšana un pēcdiploma izglītības organizēšana tiesu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4.1.1.2. pasākuma ietvaros VSIA “Paula Stradiņa klīniskā universitātes slimnīca” jau ir iezīmēts finansējums jaunā B korpusa būvniecībai. Plānotais finansējums apstiprināts ar Ministru kabineta 2021. gada 7. septembra protokollēmumu Nr. 60 54. § “Informatīvais ziņojums “Par VSIA “Paula Stradiņa klīniskā universitātes slimnīca” jaunā B korpusa attīstību”” (https://tap.mk.gov.lv/mk/mksedes/saraksts/protokols/?protokols=2021-09-07) (turpmāk – MK protokollēmums Nr.60). MK protokollēmuma Nr. 60 54. § 2. punkts nosaka - pieņemt zināšanai, ka VSIA "Paula Stradiņa klīniskā universitātes slimnīca" B korpusa attīstībai plānots finansējums līdz 151 milj. </w:t>
      </w:r>
      <w:r w:rsidR="00000000" w:rsidRPr="00000000" w:rsidDel="00000000">
        <w:rPr>
          <w:i w:val="1"/>
          <w:rtl w:val="0"/>
        </w:rPr>
        <w:t xml:space="preserve">euro</w:t>
      </w:r>
      <w:r w:rsidR="00000000" w:rsidRPr="00000000" w:rsidDel="00000000">
        <w:rPr>
          <w:rtl w:val="0"/>
        </w:rPr>
        <w:t xml:space="preserve">, piesaistot finanšu līdzekļus no ES struktūrfondu un Kohēzijas fonda 2021.–2027.gada plānošanas perioda ietvaros pieejamā ERAF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4.1.1. pasākuma ietvaros jāņem vērā 2023. gada 14. martā Ministru kabinetā izskatītais ziņojums “Informatīvais ziņojums “Par VSIA “Paula Stradiņa klīniskā universitātes slimnīca” A ēkas otrās kārtas attīstību” (protokollēmums Nr. 14 30. §, (23-TA-498) (https://tapportals.mk.gov.lv/meetings/cabinet_ministers/353d2521-f791-4c94-b35a-e7c811a017d2), kurā noteikts , ka VSIA "Paula Stradiņa klīniskā universitātes slimnīca" (turpmāk – Slimnīca) lielā projekta Nr. 9.3.2.0/17/I/013 “Paula Stradiņa klīniskās universitātes slimnīcas jaunās A2 ēkas attīstība” (turpmāk – lielais projekts) ietvaros sakarā ar Krievijas kara Ukrainā ietekmi uz būvniecības tirgu ir radies ne Slimnīcai un ne būvdarbu īstenotājam SIA “Velve” (turpmāk – Uzņēmējs) prognozējams sadārdzinājums 16 290 890,20 </w:t>
      </w:r>
      <w:r w:rsidR="00000000" w:rsidRPr="00000000" w:rsidDel="00000000">
        <w:rPr>
          <w:i w:val="1"/>
          <w:rtl w:val="0"/>
        </w:rPr>
        <w:t xml:space="preserve">euro</w:t>
      </w:r>
      <w:r w:rsidR="00000000" w:rsidRPr="00000000" w:rsidDel="00000000">
        <w:rPr>
          <w:rtl w:val="0"/>
        </w:rPr>
        <w:t xml:space="preserve"> (ar pievienotās vērtības nodokli (turpmāk – PVN)) apjomā un ir nepieciešams būvdarba līguma termiņa pagarinājums līdz 2024. gada 1. jūnijam. Attiecīgi lielā projekta īstenošana tiks pabeigta atbilstoši EK Vadlīnijās par to darbības programmu slēgšanu, kuras pieņemtas atbalsta saņemšanai no ERAF, Eiropas Sociālā fonda, Kohēzijas fonda un Eiropas Jūrlietu un zivsaimniecības fonda (2014.–2020. gada periodā) (2021/C 417/01) (https://www.esfondi.lv/upload/Vadlinijas/2014-2020_slegsanas-vadlinijas_apst_14.12.2022.pdf ) (turpmāk – EK slēgšanas vadlīnijas) 6. sadaļai “divu periodu projekts”, sadārdzinājuma segšanai nepieciešamo finansējumu piesaistot no 4.1.1.2. 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ietvaros jāņem vērā, ka 2021. gada 28. septembrī Ministru kabinetā tika izskatīts Veselības ministrijas (turpmāk – ministrija) informatīvais ziņojums </w:t>
      </w:r>
      <w:r w:rsidR="00000000" w:rsidRPr="00000000" w:rsidDel="00000000">
        <w:rPr>
          <w:i w:val="1"/>
          <w:rtl w:val="0"/>
        </w:rPr>
        <w:t xml:space="preserve">“Par integrētās veselības aprūpes pieejas ieviešanu SIA “Rīgas Austrumu klīniskā universitātes slimnīca”</w:t>
      </w:r>
      <w:r w:rsidR="00000000" w:rsidRPr="00000000" w:rsidDel="00000000">
        <w:rPr>
          <w:rtl w:val="0"/>
        </w:rPr>
        <w:t xml:space="preserve">. Ministru kabineta protokollēmuma Nr. 64 55. § (2021-TA-2157) (https://tapportals.mk.gov.lv/meetings/protocols/42474ec9-ee9e-46cf-90b9-b06b450583f6) 3. punkts nosaka, ka SIA “Rīgas Austrumu klīniskā universitātes slimnīca” Integrētās veselības aprūpes pieejas ieviešanas īstenošanai plānotais kopējais investīciju apjoms sasniedz 127 972 041 </w:t>
      </w:r>
      <w:r w:rsidR="00000000" w:rsidRPr="00000000" w:rsidDel="00000000">
        <w:rPr>
          <w:i w:val="1"/>
          <w:rtl w:val="0"/>
        </w:rPr>
        <w:t xml:space="preserve">euro</w:t>
      </w:r>
      <w:r w:rsidR="00000000" w:rsidRPr="00000000" w:rsidDel="00000000">
        <w:rPr>
          <w:rtl w:val="0"/>
        </w:rPr>
        <w:t xml:space="preserve"> (ar PVN), tai skaitā 99 972 041 </w:t>
      </w:r>
      <w:r w:rsidR="00000000" w:rsidRPr="00000000" w:rsidDel="00000000">
        <w:rPr>
          <w:i w:val="1"/>
          <w:rtl w:val="0"/>
        </w:rPr>
        <w:t xml:space="preserve">euro</w:t>
      </w:r>
      <w:r w:rsidR="00000000" w:rsidRPr="00000000" w:rsidDel="00000000">
        <w:rPr>
          <w:rtl w:val="0"/>
        </w:rPr>
        <w:t xml:space="preserve"> plānoti būvniecības un saistītajām izmaksām un 28 000 000 </w:t>
      </w:r>
      <w:r w:rsidR="00000000" w:rsidRPr="00000000" w:rsidDel="00000000">
        <w:rPr>
          <w:i w:val="1"/>
          <w:rtl w:val="0"/>
        </w:rPr>
        <w:t xml:space="preserve">euro</w:t>
      </w:r>
      <w:r w:rsidR="00000000" w:rsidRPr="00000000" w:rsidDel="00000000">
        <w:rPr>
          <w:rtl w:val="0"/>
        </w:rPr>
        <w:t xml:space="preserve"> plānoti medicīnas aprīkojuma iegādei. Būvniecības izmaksas 82 621 521 </w:t>
      </w:r>
      <w:r w:rsidR="00000000" w:rsidRPr="00000000" w:rsidDel="00000000">
        <w:rPr>
          <w:i w:val="1"/>
          <w:rtl w:val="0"/>
        </w:rPr>
        <w:t xml:space="preserve">euro</w:t>
      </w:r>
      <w:r w:rsidR="00000000" w:rsidRPr="00000000" w:rsidDel="00000000">
        <w:rPr>
          <w:rtl w:val="0"/>
        </w:rPr>
        <w:t xml:space="preserve"> (bez PVN) apmērā plānots segt no Atveseļošanās un noturības mehānisma finansējuma (turpmāk – ANM). </w:t>
      </w:r>
      <w:r w:rsidR="00000000" w:rsidRPr="00000000" w:rsidDel="00000000">
        <w:rPr>
          <w:b w:val="1"/>
          <w:rtl w:val="0"/>
        </w:rPr>
        <w:t xml:space="preserve">Medicīnas aprīkojuma iegādei plānotais finansējums 28 000 000 </w:t>
      </w:r>
      <w:r w:rsidR="00000000" w:rsidRPr="00000000" w:rsidDel="00000000">
        <w:rPr>
          <w:b w:val="1"/>
          <w:i w:val="1"/>
          <w:rtl w:val="0"/>
        </w:rPr>
        <w:t xml:space="preserve">euro</w:t>
      </w:r>
      <w:r w:rsidR="00000000" w:rsidRPr="00000000" w:rsidDel="00000000">
        <w:rPr>
          <w:b w:val="1"/>
          <w:rtl w:val="0"/>
        </w:rPr>
        <w:t xml:space="preserve"> apmērā tiks segts no ERAF 4.1.1.1. pasākuma finansējuma. </w:t>
      </w:r>
      <w:r w:rsidR="00000000" w:rsidRPr="00000000" w:rsidDel="00000000">
        <w:rPr>
          <w:rtl w:val="0"/>
        </w:rPr>
        <w:t xml:space="preserve">Savukārt atbilstoši Ministru kabineta 2022. gada 17. maija protokollēmuma Nr. 27 37.§ “Informatīvais ziņojums “Par SIA "Rīgas Austrumu klīniskā universitātes slimnīca" ERAF projektu īstenošanu”” (https://tapportals.mk.gov.lv/meetings/protocols/91b3a3b0-ee56-4e0f-9619-b5afad3c7515) 2.1.punktā noteikto SIA "Rīgas Austrumu klīniskā universitātes slimnīca" ES fondu 2014.–2020. gada plānošanas perioda darbības programmas "Izaugsme un nodarbinātība" ERAF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(turpmāk - SAM 9.3.2.) projekts Nr. 9.3.2.0/21/I/001 "SIA "Rīgas Austrumu klīniskā universitātes slimnīca" ēkas Hipokrāta ielā 4 infrastruktūras attīstība" tiek sadalīts divās daļās un īstenots ES fondu 2014. - 2020. gada plānošanas perioda SAM 9.3.2. ietvaros un ES fondu 2021.- 2027. gada plānošanas perioda SAM 4.1.1. ietvaros kā ātrāk uzsākamais projekts. Līdz ar to, SIA "Rīgas Austrumu klīniskā universitātes slimnīca" ES fondu 2021.- 2027. gada plānošanas perioda ERAF SAM 4.1.1. ietvaros ir iezīmēts finansējums 18 759 513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ir izstrādājusi Informatīvo ziņojumu </w:t>
      </w:r>
      <w:r w:rsidR="00000000" w:rsidRPr="00000000" w:rsidDel="00000000">
        <w:rPr>
          <w:i w:val="1"/>
          <w:rtl w:val="0"/>
        </w:rPr>
        <w:t xml:space="preserve">“Par SIA “Rīgas Austrumu klīniskā universitātes slimnīca” Eiropas Reģionālās attīstības fonda projektu īstenošanu”</w:t>
      </w:r>
      <w:r w:rsidR="00000000" w:rsidRPr="00000000" w:rsidDel="00000000">
        <w:rPr>
          <w:rtl w:val="0"/>
        </w:rPr>
        <w:t xml:space="preserve"> (TAP - 23-TA-65), kurš nosaka, ka SIA “Rīgas Austrumu klīniskā universitātes slimnīca” (turpmāk – RAKUS) projektā Nr. 9.3.2.0/17/I/004 “SIA “Rīgas Austrumu klīniskā universitātes slimnīca” infrastruktūras attīstība” (turpmāk - I kārtas projekts), sakarā ar Krievijas kara Ukrainā ietekmi uz būvniecības tirgu ir radies ne Slimnīcai un ne būvdarbu īstenotājam - Piegādātāju apvienības “BBA, Guliver, AE”, prognozējams sadārdzinājums līdz 13 677 811,12 </w:t>
      </w:r>
      <w:r w:rsidR="00000000" w:rsidRPr="00000000" w:rsidDel="00000000">
        <w:rPr>
          <w:i w:val="1"/>
          <w:rtl w:val="0"/>
        </w:rPr>
        <w:t xml:space="preserve">euro</w:t>
      </w:r>
      <w:r w:rsidR="00000000" w:rsidRPr="00000000" w:rsidDel="00000000">
        <w:rPr>
          <w:rtl w:val="0"/>
        </w:rPr>
        <w:t xml:space="preserve"> (ar PVN) apjomā un nepieciešams būvdarbu līguma termiņa pagarinājums līdz 2024. gada 31. jūlijam. Kā arī projektā Nr. 9.3.2.0/21/I/001 “SIA “Rīgas Austrumu klīniskā universitātes slimnīca” ēkas Hipokrāta ielā 4 infrastruktūras attīstība” (turpmāk - II kārtas projekts), sakarā ar Krievijas kara Ukrainā ietekmi uz būvniecības tirgu ir radies ne RAKUS un ne būvdarbu īstenotājam - SIA “LVS Building” un SIA “AIMASA” prognozējams sadārdzinājums līdz 4 309 492,57 </w:t>
      </w:r>
      <w:r w:rsidR="00000000" w:rsidRPr="00000000" w:rsidDel="00000000">
        <w:rPr>
          <w:i w:val="1"/>
          <w:rtl w:val="0"/>
        </w:rPr>
        <w:t xml:space="preserve">euro</w:t>
      </w:r>
      <w:r w:rsidR="00000000" w:rsidRPr="00000000" w:rsidDel="00000000">
        <w:rPr>
          <w:rtl w:val="0"/>
        </w:rPr>
        <w:t xml:space="preserve"> (ar PVN) apjomā un nepieciešams būvdarbu līguma termiņa pagarinājums līdz 2023. gada 31. oktobrim. Attiecīgi I kārtas projekta īstenošanu pabeidz atbilstoši EK slēgšanas vadlīniju 6. sadaļai “divu periodu projekts”, sadārdzinājuma segšanai nepieciešamo finansējumu piesaistot no 4.1.1.1. pasākuma. Savukārt II kārtas projekta īstenošanas darbības -“Diagnostiskās radioloģijas centra izveide stacionārā “Gaiļezers”” un “Ēkas Hipokrāta ielā 4 Ķīmijterapijas Dienas stacionāra paplašināšana” pabeidz atbilstoši EK slēgšanas vadlīniju 7. sadaļai “nefunkcionējošās darbības”, īstenojot tās pēc 2023. gada 31. decembra par RAKUS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4.1.1.2. pasākuma projekta iesnieguma vērtēšanas kritēriji 2022. gada 29. septembrī tika apstiprināti ES Kohēzijas politikas fondu 2021. -2027. gada plānošanas perioda Apakškomitejas sēdē un 2023. gada 26. janvārī apstiprināti ES Kohēzijas politikas fondu 2021. -2027. gada plānošanas perioda Uzraudzības komitejas sēdē. 2023. gada 21.martā ministrija ir iesniegusi grozījumus pasākuma kritērijos, pievienojot kritēriju piemērošanu attiecībā uz Valsts tiesu medicīnas ekspertīzes centru (turpmāk - VTMEC), kurš tiek atbalstīts 4.1.1. pasākuma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VTMEC valsts deleģēto funkciju izpildi un nepārtrauktību ir nepieciešams attīstīt ar tiesu medicīnas ekspertīžu un vardarbībā cietušo personu ekspertīžu pakalpojumu sniegšanu saistīto infrastruktūru, kura šobrīd ir kritiskā stāvoklī un nav piemērota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Hipokrāta ielā 2 (17. korpuss), kas ir siltināta, projektēšanai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Hipokrāta ielā 2 k-6, 1. kārtas projektēšanai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pasākuma projekta iesnieguma vērtēšanas kritēriji ir izskatīti 2023.gada 2.februāra ES fondu apakškomitejā un pēc saņemtajiem komentāriem tiek precizēti.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4.1.1.5. pasākuma “Neatliekamās medicīniskās palīdzības dienesta attīstība” ietvaros paredzēts atbalsts</w:t>
      </w:r>
      <w:r w:rsidR="00000000" w:rsidRPr="00000000" w:rsidDel="00000000">
        <w:rPr>
          <w:rtl w:val="0"/>
        </w:rPr>
        <w:t xml:space="preserve"> Neatliekamās medicīniskās palīdzības dienesta (turpmāk – NMPD) attīstībai. Pirmsslimnīcas neatliekamo medicīnisko palīdzību sniedz Neatliekamās medicīniskās palīdzības dienests. Neatliekamo medicīnisko palīdzību pirmsslimnīcas etapā nodrošina 190 brigādes 102 lokalizācijas vietās. Neatliekamās medicīniskās palīdzības dienesta brigāde neatliekamo medicīnisko palīdzību cietušajam (saslimušajam) sniedz notikuma vietā, kā arī transportēšanas laikā uz atbilstošu ārstniecības iestādi, saskaņā ar hospitalizācijas plānu, šādos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nelaimes gadījumi, avārijas, katastrofas, smagas mehāniskās, termiskās, ķīmiskās un kombinētās traumas, elektrotraumas, svešķermeņi elpošanas ceļos, slīkšana, smakšana, saindēšanās;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pēkšņa saslimšana vai trauma sabiedriskā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pēkšņa saslimšana vai hronisku slimību paasināšanās, kas apdraud personas dzīvību;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dzīvībai un veselībai kritiskā stāvoklī esoša cietušā (saslimušā) neatliekama pārvešana, kā arī dzemdētājas nogādāšana atbilstoši veselības stāvoklim tuvākajā attiecīgajā ārstniecības iestādē vai no ārstniecības iestādes uz stacionāru vai augstāka līmeņa stacionārās ārstniecības iestādi (specializēto centru, universitātes klīniku).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 gadu Latvijā ir izveidoti 14 pirmsslimnīcas etapa neatliekamās medicīniskās palīdzības nodrošināšanai atbilstoši brigāžu atbalsta centri Latvijas lielākajās pilsētās, ņemot vērā izsaukumu skaitu un pacientu hospitalizācijas iespējas. Bet, izvērtējot NMPD esošo brigāžu atbalsta centru pašreizējo izvietojumu visā NMPD darbības teritorijā un to darbības efektivitāti, nepieciešams izveidot trīs papildus brigāžu atbalsta centrus (Ogrē, Jūrmalā un Jelgavā), paredzot to ģeogrāfisko izvietojumu tuvāk pakalpojumu saņēmējiem reģionos, samazinot materiāltehniskā nodrošinājuma trūkuma dēļ patērēto laiku un nobrauktos kilometrus, tādējādi uzlabojot pakalpojuma pieejamību iedzīvotājiem reģionos.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specifiskā atbalsta mērķa ietvaros pārējām MK noteikumos Nr. 555 noteiktajām ārstniecības iestādēm, tiks noteikts atsevišķā regulējumā, ievērojot Nacionālajā attīstības plānā 2021. - 2027. gadam (https://www.pkc.gov.lv/sites/default/files/inline-files/NAP2027_apstiprin%C4%81ts%20Saeim%C4%81_1.pdf) un infrastruktūras investīciju stratēģijā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375"/>
        <w:gridCol w:w="6404"/>
        <w:gridCol w:w="2411"/>
        <w:tblGridChange w:id="0">
          <w:tblGrid>
            <w:gridCol w:w="375"/>
            <w:gridCol w:w="6404"/>
            <w:gridCol w:w="241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Infrastruktūras investīciju stratēģijā plānotais finansējums</w:t>
            </w:r>
            <w:r w:rsidR="00000000" w:rsidRPr="00000000" w:rsidDel="00000000">
              <w:rPr>
                <w:sz w:val="24"/>
                <w:rtl w:val="0"/>
              </w:rPr>
              <w:t xml:space="preserve">,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 pasākuma "Ārstniecības iestāžu infrastruktūras attīstība" 1 .- 4. kārta KOPĀ,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108 258 554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1. kārta (V - VI līmeņa un Valsts tiesu medicīnas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80 397 986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4.1.1.1. pasākuma "Ārstniecības iestāžu infrastruktūras attīstība" 2. kārta (I -III līmeņa un pārējās slimnīcas)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15 089 806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3. kārta (Psihiatrijas profila 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7 957 886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4.1.1.1. pasākuma "Ārstniecības iestāžu infrastruktūras attīstība" 4. kārta (Sekundāro ambulatoro veselības aprūpes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4 812 876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 pasākums "P.Stradiņa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151 185 240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 pasākums "Primārās veselības aprūpes lomas stiprināšana, attīstot infrastruktūru"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 pasākums "Neatliekamās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12 307 060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4.1.1.6. pasākums "Hroniski slimo un nedziedināmi slimo pacientu aprūpei nepieciešamās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16 021 244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 SAM ietvaros plānotais finansējums, izņemot 4.1.1.4.pasākumu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295 972 098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fondu 2021. – 2027. gada plānošanas perioda investīciju plūsmas intensificēšanu ir jāizpilda EK pieprasāmo izdevumu minimālais apmērs kumulatīvi 2025. gadā turpmāk līdz 2030. gadam (n + 3 mērķis), lai nezaudētu ES fondu “piešķīrumu” atbilstoši starpībai starp mērķi un izpildi</w:t>
      </w:r>
      <w:r w:rsidR="00000000" w:rsidRPr="00000000" w:rsidDel="00000000">
        <w:rPr>
          <w:vertAlign w:val="superscript"/>
          <w:rtl w:val="0"/>
        </w:rPr>
        <w:t xml:space="preserve">[2]</w:t>
      </w:r>
      <w:r w:rsidR="00000000" w:rsidRPr="00000000" w:rsidDel="00000000">
        <w:rPr>
          <w:rtl w:val="0"/>
        </w:rPr>
        <w:t xml:space="preserve">. Atbilstoši atbildīgo iestāžu 2023. gada 25. janvāra prognozēm</w:t>
      </w:r>
      <w:r w:rsidR="00000000" w:rsidRPr="00000000" w:rsidDel="00000000">
        <w:rPr>
          <w:vertAlign w:val="superscript"/>
          <w:rtl w:val="0"/>
        </w:rPr>
        <w:t xml:space="preserve">[3]</w:t>
      </w:r>
      <w:r w:rsidR="00000000" w:rsidRPr="00000000" w:rsidDel="00000000">
        <w:rPr>
          <w:rtl w:val="0"/>
        </w:rPr>
        <w:t xml:space="preserve"> deklarējamo izdevumu minimālajam apjomam tiek paredzētas sekojošas </w:t>
      </w:r>
      <w:r w:rsidR="00000000" w:rsidRPr="00000000" w:rsidDel="00000000">
        <w:rPr>
          <w:b w:val="1"/>
          <w:rtl w:val="0"/>
        </w:rPr>
        <w:t xml:space="preserve">Pasākuma projektu iesniegumu atlases: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CFLA kā sadarbības iestāde (turpmāk – sadarbības iestāde) 4.1.1.1. pasākuma projektu iesniegumu atlases ietvaros organizē ierobežotu projektu iesniegumu atlasi, ne vēlāk kā viena mēneša laikā pēc šo noteikumu spēkā stāšanās, uzaicinot tajā piedalīties šo noteikumu pielikuma 1. punktā minētos projekta iesniedzējus.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iestāde 4.1.1.2. pasākuma projektu iesniegumu atlases ietvaros organizē ierobežotu projektu iesniegumu atlasi, ne vēlāk kā divu mēnešu laikā pēc šo noteikumu spēkā stāšanās, uzaicinot tajā piedalīties šo noteikumu pielikuma 2. punktā minēto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iestāde 4.1.1.5. pasākuma projektu iesniegumu atlases ietvaros organizē ierobežotu projektu iesniegumu atlasi, ne vēlāk kā divu mēnešu laikā pēc šo noteikumu spēkā stāšanās, uzaicinot tajā piedalīties šo noteikumu pielikuma 3. punktā minēto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mērķis</w:t>
      </w:r>
      <w:r w:rsidR="00000000" w:rsidRPr="00000000" w:rsidDel="00000000">
        <w:rPr>
          <w:rtl w:val="0"/>
        </w:rPr>
        <w:t xml:space="preserve"> ir nodrošināt vienlīdzīgu piekļuvi veselības aprūpei un stiprināt veselības sistēmu, attīstot veselības aprūpes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mērķa grupa</w:t>
      </w:r>
      <w:r w:rsidR="00000000" w:rsidRPr="00000000" w:rsidDel="00000000">
        <w:rPr>
          <w:rtl w:val="0"/>
        </w:rPr>
        <w:t xml:space="preserve"> ir visi Latvijas iedzīvotāji, veselības aprūpes pakalpojumu sniedzēji, ministrijas padotības iestādes,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Sasniedzamie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w:t>
      </w:r>
      <w:r w:rsidR="00000000" w:rsidRPr="00000000" w:rsidDel="00000000">
        <w:rPr>
          <w:b w:val="1"/>
          <w:u w:val="single"/>
          <w:rtl w:val="0"/>
        </w:rPr>
        <w:t xml:space="preserve">iznākuma rādītājs</w:t>
      </w:r>
      <w:r w:rsidR="00000000" w:rsidRPr="00000000" w:rsidDel="00000000">
        <w:rPr>
          <w:rtl w:val="0"/>
        </w:rPr>
        <w:t xml:space="preserve"> ir jaunu vai modernizētu veselības aprūpes iestāžu kapacitāte - līdz 2029. gada 31. decembrim sasniedzot, ka pasākuma ietvaros izveidoto vai uzlaboto veselības aprūpes iestādi vismaz vienu reizi gada laikā apmeklēs 4 266 306 iedzīvotāji. (Darbības programmas rādītājs RCO69).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w:t>
      </w:r>
      <w:r w:rsidR="00000000" w:rsidRPr="00000000" w:rsidDel="00000000">
        <w:rPr>
          <w:b w:val="1"/>
          <w:u w:val="single"/>
          <w:rtl w:val="0"/>
        </w:rPr>
        <w:t xml:space="preserve">specifiskais iznākuma rādītājs</w:t>
      </w:r>
      <w:r w:rsidR="00000000" w:rsidRPr="00000000" w:rsidDel="00000000">
        <w:rPr>
          <w:rtl w:val="0"/>
        </w:rPr>
        <w:t xml:space="preserve"> ir noslēgto līgumu īpatsvars par ieguldījumiem veselības aprūpes infrastruktūras objektos - līdz 2029. gada 31. decembrim sasniedzot, ka pasākuma ietvaros noslēgti līgumi vai vienošanās par projektu īstenošanu 100 procentu apmērā no visiem ieguldījumiem, tai skaitā nodrošinot, ka uz 2024. gada 31. decembri būs noslēgti līgumi vai vienošanās par projektu īstenošanu vismaz par 10 procenti no pasākumiem pieejamā kopējā attiecināmā finansējuma, kas ietver ES fondu finansējumu un nacionālo līdzfinansējumu. (Darbības programmas rādītājs i.4.1.1.a).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w:t>
      </w:r>
      <w:r w:rsidR="00000000" w:rsidRPr="00000000" w:rsidDel="00000000">
        <w:rPr>
          <w:b w:val="1"/>
          <w:u w:val="single"/>
          <w:rtl w:val="0"/>
        </w:rPr>
        <w:t xml:space="preserve">rezultāta rādītājs</w:t>
      </w:r>
      <w:r w:rsidR="00000000" w:rsidRPr="00000000" w:rsidDel="00000000">
        <w:rPr>
          <w:rtl w:val="0"/>
        </w:rPr>
        <w:t xml:space="preserve"> ir personu skaits, kuras izmanto jaunu vai modernizētu veselības aprūpes iestāžu pakalpojumus, skaits gadā - līdz 2029. gada 31. decembrim sasniedzot vērtību 3 878 460 lietotāju gadā. (Darbības programmas rādītājs RCR 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u w:val="single"/>
          <w:rtl w:val="0"/>
        </w:rPr>
        <w:t xml:space="preserve">4.1.1.5. pasākuma specifiskais iznākuma rādītājs</w:t>
      </w:r>
      <w:r w:rsidR="00000000" w:rsidRPr="00000000" w:rsidDel="00000000">
        <w:rPr>
          <w:rtl w:val="0"/>
        </w:rPr>
        <w:t xml:space="preserve"> ir Neatliekamās medicīniskās palīdzības pakalpojumu sniegšanas efektivitātes uzlabošana, izveidojot 3 brigāžu atbalsta centrus tuvāk pakalpojumu saņēmējiem reģionos. (Darbības programmas rādītājs i.4.1.1.b).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4.1.1. SAM pasākumu ietvaros plānotajiem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774"/>
        <w:gridCol w:w="1607"/>
        <w:gridCol w:w="737"/>
        <w:gridCol w:w="973"/>
        <w:gridCol w:w="719"/>
        <w:gridCol w:w="973"/>
        <w:gridCol w:w="756"/>
        <w:gridCol w:w="1009"/>
        <w:gridCol w:w="737"/>
        <w:tblGridChange w:id="0">
          <w:tblGrid>
            <w:gridCol w:w="774"/>
            <w:gridCol w:w="1607"/>
            <w:gridCol w:w="737"/>
            <w:gridCol w:w="973"/>
            <w:gridCol w:w="719"/>
            <w:gridCol w:w="973"/>
            <w:gridCol w:w="756"/>
            <w:gridCol w:w="1009"/>
            <w:gridCol w:w="7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w:t>
            </w:r>
            <w:r w:rsidR="00000000" w:rsidRPr="00000000" w:rsidDel="00000000">
              <w:rPr>
                <w:sz w:val="24"/>
                <w:rtl w:val="0"/>
              </w:rPr>
              <w:t xml:space="preserve">,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92 019 771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14 723 163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18 403 954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58 892 654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128 507 454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20 561 192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25 701 491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82 244 771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10 461 001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1 673 760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2 092 200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6 695 041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projektu iesniegumu atlases īsteno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atbildīgās iestādes funkcijas pilda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sadarbības iestādes funkcijas pilda, piešķir komercdarbības atbalstu un slēdz līgumu par projekta īstenošanu CFLA kā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sniegts komercdarbības atbalsts saskaņā ar 2022. gada 20. decembra Komisijas lēmumu 2012/21/ES par Līguma par ES darbību 106. panta 2. punkta piemērošanu valsts atbalstam attiecībā uz kompensāciju par sabiedriskajiem pakalpojumiem dažiem uzņēmumiem, kuriem uzticēts sniegt pakalpojumus ar vispārēju tautsaimniecisku (turpmāk – VTNP) nozīmi (turpmāk – Eiropas Komisijas lēmums Nr.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VTNP un Eiropas Komisijas lēmuma Nr.2012/21/ES galvenais deleģētājs ir Nacionālais veselības dienests (turpmāk – pilnvarojuma uzlicējs), kurš ministrijas vārdā slēdz līgumus par valsts apmaksāto veselības aprūpes VTNP pakalpojumu īstenošanu un nodrošina VTNP un Eiropas Komisijas lēmuma Nr.2012/21/ES prasību ievērošanu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atbilstoši normatīvajiem aktiem par veselības aprūpes organizēšanas un samaksas kārtību ir noslēdzis ar Nacionālo veselības dienestu deleģēšanas līgumu par valsts apmaksātajiem stacionārajiem un ambulatorajiem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komercdarbības atbalsta piešķiršanas dienu ir uzskatāma diena, kad sadarbības iestāde sniedz atzinumu par projekta apstiprināšanu vai projekta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Eiropas Komisijas lēmuma Nr.2012/21/ES nosacījumu ievērošanas kontroli un uzraudzību nodrošina 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uzlicējam un finansējuma saņēmējam ir pienākums dokumentāciju par saņemto komercdarbības atbalstu glabāt 10 gadus no pilnvarojuma termiņa beigām, savukārt nozares ministrijai, kas nav pilnvarojuma uzlicējs, bet piešķir komercdarbības atbalstu saskaņā ar šīs nodaļas prasībām, ir pienākums dokumentāciju, kas saistīta ar komercdarbības atbalsta piešķiršanu, glabāt 10 gadus no komercdarbības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finansējuma saņēmējam - VTMEC un 4.1.1.5 pasākuma finansējuma saņēmējam  - NMPD atbalsts tiek sniegts deleģētās valsts funkcijas nodrošināšanai un tas nav kvalificējams kā komercdarbības atbalsts. Finansējuma saņēmējs valsts deleģētās funkcijas īstenošanai paredzētās darbības un izmaksas nodala no citiem pakalpojumiem (tostarp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atbalsts piešķirams tikai infrastruktūras, kurā tiek nodrošināti valsts apmaksātie veselības aprūpes pakalpojumi, attīstībai, tādejādi finansējuma saņēmējam ir pienākums aprēķināt infrastruktūras izmantošanas atbalstāmo darbību proporciju valsts apmaksāto veselības aprūpes pakalpojumu sniegšanai un citu darbību veikšanai (turpmāk - infrastruktūras izmantošanas proporcija) un piemērot to projekta kopējam finansējumam, nosakot publiskā un privātā finansējuma apmēru. Proporcionāli infrastruktūras izmantošanai citiem mērķiem (maksas pakalpojumiem) paredzēts piesaistīt pašu privāto līdzfinansējumu, tādejādi nodrošinot godīgu konkurenci un neietekmējot tirgus dalībniekus, ar to, ka publiska nauda tiek dota ne tikai valsts apmaksātu (publisku) veselības aprūpes pakalpojumu sniegšanai, bet arī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izmantošanas proporcijas piemērošanu uzrauga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infrastruktūras izmantošanas proporciju iesniedz sadarbības iestādei iesniedzot projekta iesniegumu un iesniedzot projekta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līguma par projekta īstenošanu noslēgšanas palielinās projekta publisko izmaksu maksimālais apmērs, atbalsta sniedzējs kopējās publiskās projekta attiecināmās izmaksas nepalielina. Finansējuma saņēmējs, iesniedzot projekta noslēguma maksājuma pieprasījumu, nodrošina, ka aprēķinātais projekta kopējais publisko izmaksu maksimālais apmērs atbilst piešķirtajam kopējam publisko izmaksu maksimālajam apmēram, palielinot šo noteikumu noteikto privāto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īstenošanas laikā saskaņā ar līgumu par projekta īstenošanu finansējuma saņēmējs var saņemt avansa maksājumu saskaņā ar normatīvajiem aktiem par kārtību, kādā plāno valsts budžeta līdzekļus un veic maksājumus. Sadarbības iestāde, pamatojoties uz finansējuma saņēmēja pieprasījumu un atbilstoši projekta finansēšanas plānam, veicot avansa un starpposma maksājumus, ievēro nosacījumu, ka to kopsumma nepārsniedz 90 procentus no projektam piešķirtā ERAF finansējuma. Avansa maksājumu ir iespējams saņemt vairākos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infrastruktūras, kurā tiek nodrošināta valsts apmaksāti veselības aprūpes pakalpojumi, attīstības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iegāde, piegāde un montāža;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publicitātes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“projekta vadības nodrošināšana” ir attiecināmas finansējuma saņēmēja projekta vadības personāla atlīdzības izmaksas, kas radušās uz darba līguma vai uzņēmuma (pakalpojuma) līguma pamata, tai skaitā normatīvajos aktos noteiktās piemaksas un nodokļi,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tiešās attiecināmās izmaksas ir 5 000 000 </w:t>
      </w:r>
      <w:r w:rsidR="00000000" w:rsidRPr="00000000" w:rsidDel="00000000">
        <w:rPr>
          <w:i w:val="1"/>
          <w:rtl w:val="0"/>
        </w:rPr>
        <w:t xml:space="preserve">euro</w:t>
      </w:r>
      <w:r w:rsidR="00000000" w:rsidRPr="00000000" w:rsidDel="00000000">
        <w:rPr>
          <w:rtl w:val="0"/>
        </w:rPr>
        <w:t xml:space="preserve"> vai lielākas – nepārsniedzot 56 580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tiešās attiecināmās izmaksas ir mazākas par 5 000 000 </w:t>
      </w:r>
      <w:r w:rsidR="00000000" w:rsidRPr="00000000" w:rsidDel="00000000">
        <w:rPr>
          <w:i w:val="1"/>
          <w:rtl w:val="0"/>
        </w:rPr>
        <w:t xml:space="preserve">euro</w:t>
      </w:r>
      <w:r w:rsidR="00000000" w:rsidRPr="00000000" w:rsidDel="00000000">
        <w:rPr>
          <w:rtl w:val="0"/>
        </w:rPr>
        <w:t xml:space="preserve">, ierobežojumu aprēķina ar minimālo izmaksu bāzi 24 426 </w:t>
      </w:r>
      <w:r w:rsidR="00000000" w:rsidRPr="00000000" w:rsidDel="00000000">
        <w:rPr>
          <w:i w:val="1"/>
          <w:rtl w:val="0"/>
        </w:rPr>
        <w:t xml:space="preserve">euro</w:t>
      </w:r>
      <w:r w:rsidR="00000000" w:rsidRPr="00000000" w:rsidDel="00000000">
        <w:rPr>
          <w:rtl w:val="0"/>
        </w:rPr>
        <w:t xml:space="preserve"> gadā, pieskaitot 0,64 procenti no projekta tiešajām attiecināmajām izmaksām, bet neieskaitot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personāla iesaisti projektā nodrošina saskaņā ar daļlaika attiecināmības principu (attiecināms, ja izmaksas radušās uz darba līguma pamata),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“būvdarbi” ietvaros ir attiecināmas būvprojekta minimālā sastāvā un būvprojekta izstrādes izmaksas, projekta ekspertīžu izmaksas, autoruzraudzības un būvuzraudzības izmaksas un normatīvajos aktos noteiktās attiecīgo būvspeciālistu obligātās apdrošināšanas izmaksas, un būvdarbu izmaksas, tajā skaitā izmaksas, kas saistītas ar objektu nodošanu ekspluatācijā – ir attiecināmas visas ar būvdarbiem saistītās izmaksas saskaņā ar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“tehnoloģiju iegāde, piegāde un montāža” ietvaros ir attiecināmas ārstniecības procesam tieši nepieciešamo tehnoloģiju piegādes (t.sk. iegādes, piegādes un montāžas) izmaksas, proti medicīniskās tehnoloģijas, t.sk. iebūvējamās medicīniskās tehnoloģijas, iekārtas, ierīces, mēbeles, un aprīkojums, cits aprīkojums telpu funkcionalitātes nodrošināšanai, kā arī informācijas tehnoloģiju aprīkojums (piemēram, datori, printeri, rindu sistēmas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pasākuma ietvaros NMPD ir atbalstāmas tehniskā nodrošinājuma izmaksas jeb operatīvo medicīnisko transportlīdzekļu autoparka atjaunošanai ir atbalstāmas tehniskā nodrošinājuma iegādes izmaksas, kas ietver ar operatīvo medicīnisko transportlīdzekļu iegādi, piegādi un aprīkošanu saistītos izdevumus, bet nav atbalstāmi uzturēšanas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projektā, attiecinot medicīniskās tehnoloģijas, kuru vienas vienības piegādes izmaksas pārsniedz 20 000 </w:t>
      </w:r>
      <w:r w:rsidR="00000000" w:rsidRPr="00000000" w:rsidDel="00000000">
        <w:rPr>
          <w:i w:val="1"/>
          <w:rtl w:val="0"/>
        </w:rPr>
        <w:t xml:space="preserve">euro</w:t>
      </w:r>
      <w:r w:rsidR="00000000" w:rsidRPr="00000000" w:rsidDel="00000000">
        <w:rPr>
          <w:rtl w:val="0"/>
        </w:rPr>
        <w:t xml:space="preserve"> (ar PVN), nepieciešams ministrijas saskaņojums. Ministrija izveido tehnoloģijas skaņošanas darba grupu un nosaka tās kārtību, tostarp par projekta ietvaros iegādājamajām iekārtām, kuru vienas vienības piegādes izmaksas nepārsniedz 20 000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“informācijas un publicitātes pasākumu nodrošināšana” ietvaros ir attiecināmas informācijas un publicitātes nodrošināšanas izmaksas atbilstoši regulas Nr.2021/1060 47. un 50. pantā noteiktajām prasībām, kā arī atbilstoši normatīvajiem aktiem par ES fondu ieviešanu 2021. – 2027. gada plānošanas periodā, kā arī ievēro saistītās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atbalstāmo darbību īstenošanai ir attiecināmas neparedzētās izmaksas līdz diviem procentiem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atbalstāmo darbību īstenošanai ir attiecināmas projekta netiešās attiecināmās izmaksas, ko projekta iesniegumā plāno kā vienu izmaksu pozīciju, piemērojot netiešo izmaksu vienoto likmi 15 procentu apmērā no tiešajām personāla atlīdzības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nodokļa maksājumi, kas tiešā veidā saistīti ar projektu, ir attiecināmās izmaksas, ja finansējuma saņēmējs tos nevar atgūt atbilstoši normatīvajiem aktiem par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ja tās atbilst šajos noteikumos minētajām izmaksu pozīcijām un tās ir radušās ne agrāk kā par 2021. gada 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vērtēšanas komisijā sadarbības iestāde iekļauj arī pārstāvi no atbildīgās iestādes un Nacionālā veselības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ka atbilstoši regulas Nr. 2021/241 ar ko izveido Atveseļošanas un noturības mehānismu 5. panta 2. punkta un Eiropas Parlamenta un Padomes 2020. gada 18. jūnija Regulas (ES) 2020/852 par regulējuma izveidi ilgtspējīgu ieguldījumu veicināšanai un ar kuru groza Regulu (ES) 2019/2088, 17. panta prasībām nodrošina, ka tiek ievēroti nacionālos normatīvos aktos noteiktie principa “Nenodarīt būtisku kaitējumu” vides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radīs ievērojamas siltumnīcefekta gāzes (turpmāk –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neradīs ievērojamas SEG emisijas, ņemot vērā, ka ANM ietvaros plānota ārstniecības iestāžu infrastruktūras attīstība, kam būs nebūtiska 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infrastruktūras attīstība atbilstoši mūsdienu prasībām, tad plānots, ka ēkas un iekārtas tiks uzlabotas (vai daļa iekārtu aizstātas ar jaunām), tad daļā gadījumu iespējama arī pozitīva ietekme uz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atbalstīt teritorijas labiekārtošanas darbus, piemēram, koku stādīšanu, apzaļumošanu, tādējādi veicinot CO2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nulles alternatīvas, t.i., nav iespējams neveikt investīcijas veselības aprūpes infrastruktūras attīstības pasākumus, jo tādējādi tiktu apdraudēta veselības aprūpes pakalpojumu pieejamība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Papildinoši pasākumi un investīcijas ar SEG emisiju samazinošu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investīcijas digitālajā veselībā, kas samazinās pārvietošanās nepieciešamību (klātienes apmeklējumus) un papīra izmantošanu, ir arī darbības programmas 2021. - 2027. gada plānošanas perioda ietvaros, paredzot investīcijas e-pakalpojumu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izraisīs pašreizējā klimata un gaidāmā nākotnes klimata negatīvās ietekmes palielināšanos uz pašu pasākumu vai uz cilvēku,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kvalitatīvu un izmaksu efektīvu integrētu veselības aprūpes pakalpojumu pieejamībai un veselības aprūpes sistēmas gatavībai pakalpojumu nodrošināšanai epidemioloģiskajās krīzēs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pasākumi nav saistīti ar klimata pārmaiņu radīto potenciālo risku radīšanu, kā arī uzlabojot novecojošo infrastruktūru, tiks netieši mazināta klimatu pārmaiņu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ilgtspējīga ūdens un jūras resursu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kaitēs: (i) ūdensobjektu labam stāvoklim vai to labam ekoloģiskajam potenciālam, ieskaitot virszemes ūdeņus un gruntsūdeņus; vai (ii)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 netiek īstenoti pasākumi ūdensobjektu ietekmēšanai.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pāreja uz aprites ekonomiku</w:t>
      </w:r>
      <w:r w:rsidR="00000000" w:rsidRPr="00000000" w:rsidDel="00000000">
        <w:rPr>
          <w:rtl w:val="0"/>
        </w:rPr>
        <w:t xml:space="preserve">, ieskaitot atkritumu rašanās novēršanu un to reciklēšanu: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 būtiski palielinās atkritumu rašanos, incinerāciju vai apglabāšanu, izņemot nepārstrādājamu bīstamo atkritumu incinerāciju; vai (ii) dabas resursu tiešā vai netiešā izmantošanā jebkurā to aprites cikla posmā radīs būtisku neefektivitāti, kas netiek samazināta līdz minimumam ar atbilstošiem pasākumiem; vai (iii) radīs būtisku un ilgtermiņa kaitējumu videi attiecībā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iespēju robežās tiks veicināta zaļā publiskā iepirkuma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atkritumu apstrāde atbilstoši normatīvo aktu prasībām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ievērojami palielinās piesārņotāju emisijas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plānojot jau esošo ārstniecības iestāžu attīstību nav paredzams, ka pasākums būtiski palielinās piesārņotāju emisijas gaisā, pasākuma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būtiski kaitēs ekosistēmu labam stāvoklim un noturībai; vai (ii) kaitēs dzīvotņu un sugu, tostarp Savienības nozīmes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paredzama būtiska ietekme,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projekti tikt veikti jau esošajā ārstniecības iestāžu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būvniecību tiks veikts ietekmes uz vidi novērtējums saskaņā ar normatīvajos aktos noteikto un Direktīvu 2011/92/ES par dažu sabiedrisku un privātu projektu ietekmes uz vidi novērtējumu, tai skaitā nepieciešamības gadījumā tiek noteikti un ieviesti ietekmi mazinošie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uzkrāj datus par horizontālā principa "Vienlīdzīgas iespējas" horizontālo rādītāju "Objektu skaits, kuros ERAF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izmaksas pieaug, sedz projekta sadārdzinājumu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ka projektā plānotie darbi netiek finansēti vai līdzfinansēti, kā arī tos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uzkrāj datus par projekta ietekmi uz iznākuma, specifiskā iznākuma un rezultāta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sasniegto rezultātu ilgtspēju vismaz piecus gadus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ietvaros īstenojamo projekta kopējās attiecināmās izmaksas pārsniedz 3 000 000 </w:t>
      </w:r>
      <w:r w:rsidR="00000000" w:rsidRPr="00000000" w:rsidDel="00000000">
        <w:rPr>
          <w:i w:val="1"/>
          <w:rtl w:val="0"/>
        </w:rPr>
        <w:t xml:space="preserve">euro</w:t>
      </w:r>
      <w:r w:rsidR="00000000" w:rsidRPr="00000000" w:rsidDel="00000000">
        <w:rPr>
          <w:rtl w:val="0"/>
        </w:rPr>
        <w:t xml:space="preserve">, finansējuma saņēmējs projektu plānošanai un īstenošanas kontrolei izveido vadības un kontroles komisiju un reizi ceturksnī organizē pārskata sanāksmes par projektu progresu, uz kurām uzaicina atbildīgās iestādes un sadarbības iestādes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īsteno saskaņā ar līgumu par projekta īstenošanu, kas noslēgta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izvirzītos mērķus nepieciešams ne tikai efektīvi īstenot, bet arī kvalitatīvi, atbildīgi un plaši atspoguļot un nokomunicēt ES valstu līmenī. Attiecīgi Finanšu ministrija ir izstrādājusi vadlīnijas “Eiropas Savienības fondu 2021.–2027.gada plānošanas perioda un Atveseļošanas fonda komunikācijas un dizaina vadlīnijas” (turpmāk - dizaina vadlīnijas). Lai komunikācija būtu vienojoša, ir būtiski, lai ES fondu, Atveseļošanas fonda un Kopējās lauksaimniecības politikas fondu vadībā iesaistīto iestāžu komunikācijā veidotos sasaiste ar ES izvirzītājiem lielajiem mērķiem. 2021.–2027.gada plānošanas periodā ES fondu komunikācijā īpašs uzsvars tiek likts uz ANM identificētajiem stratēģiski svarīgajiem projektiem, kā arī ES kohēzijas politikas programmā noteiktajām stratēģiski svarīgajām darbībām un projektiem, nodrošinot pastiprinātu komunikāciju par šo projektu/darbību īstenošanas gaitu un sabiedrības ieguvumiem no tiem. Stratēģiski svarīgo projektu publicitātes pasākumos pēc iespējas jānodrošina EK vai EK pārstāvniecības Latvijā pārstāvju dalība, tā pastiprinot projektu nozīmību un svarīgumu. Attiecīgi pasākuma ietvaros kā stratēģiski svarīgs projekts noteikts šo noteikumu ​pielikumā norādītais valsts sabiedrības ar ierobežotu atbildību "Paula Stradiņa klīniskā universitātes slimnīca" projekts, kura ietvaros ne retāk kā reizi pusgadā tiek organizēti komunikācijas pasākumi par projekta aktualitātēm, ne mazāk kā piecas darbdienas pirms pasākuma informējot sadarbības iestādi un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projekta īstenošanu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vai līgumu par projekta īstenošanu, tai skaitā netiek ievēroti projektā noteiktie termiņi vai ir iestājušies citi apstākļi, kas negatīvi ietekmē vai var ietekmēt pasākuma iznākuma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citos gadījumos, ko paredz vienošanās vai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demarkācija un papildinātība ar citiem finanšu instrumentiem, piemēram, ar ANM ietvaros īstenojamās reformas 4.1.1.r. “Uz cilvēku centrētas, visaptverošas, integrētas veselības aprūpes sistēmas ilgtspēja un noturība””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ar ES fondu 2014. - 2020. gada plānošanas perioda ERAF atbalsta piešķīruma projektiem. Lai novērstu demarkāciju un dubulto finansējumu, demarkācija veselības jomas investīcijām tiek nodrošināta trijos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Stratēģiskās plānošanas līmenī (Sabiedrības veselības pamatnostādnēs 2021. - 2027. gadam un specifiskajos veselības jomas apakšnozaru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plānošanas līmenī (veselības nozares infrastruktūras investīciju stratēģijā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Operacionālajā līmenī (projektu vērtēšanas posmā, t.sk. paredzot attiecīgus projektu iesniegumu vērtēšanas kritērijus darbības programmas projektiem, kā arī nodrošinot visu investīciju augsto tehnoloģiju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publiskajām investīcijām veselības jomā ir savstarpēji papildinoša ietekme, proti ANM ietvaros paredzēts finansējums, lai stiprinātu sekundāro ambulatoro pakalpojumu sniedzēju veselības aprūpes pakalpojumu sniegšanas infrastruktūru, nodrošinot visaptverošu, ilgtspējīgu un integrētu veselības pakalpojumu sniegšanu, lai mazinātu infekciju slimību izplatību un veicinātu epidemioloģisko prasību ievērošanu, savukārt ES fondu ieguldījumi 2021. - 2027. gada plānošanas periodā paredzēti pakalpojumu pieejamības un efektivitātes uzlabošanai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Saprātīga peļņas procents tiek noteiks kā finansiālās rentabilitātes procents pēc nodokļiem (UFG070) Komersantu finanšu analīzes rādītājs atbilstoši saimniecisko darbību statistiskajai klasifikācijai (NACE 2. red) attiecīgajā pārskata gadā (https://data1.csb.gov.lv/pxweb/lv/uzn/uzn__uznemfin__ikgad/UFG070.px/?rxid=e00b1d98-adfc-4db2-a781-076ee6ab1c44).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2021.–2027. Regulas Nr. 2021/1060 105. pants: EK atceļ saistības jebkurai Programmas summas daļai, kas nav izmantota priekšfinansējumam vai par kuru līdz 31. decembrim trešajā gadā pēc programmas budžeta saistību gada nav sagatavots maksājuma pieteikums par 2021.–2026. gadu. Saistību daļu, kas joprojām pastāv 2029. gada 31. decembrī, atceļ, ja regulas 43. panta 1. punktā noteiktajā (līdz 2031. gada 15. februārim) termiņā EK nav iesniegta apliecinājumu pakete un galīgais snieguma ziņojums par programmām. Izņēmumi ir regulas 106.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 g. janvārī VI ar atsevišķām iestādēm (ar finanšu apjomīgāko ES fondu “portfeli”) un CFLA pārrunāja iespējamos risinājumus ES fondu 2021. – 2027. gada perioda investīciju ieviešanas tempa kāpināšanai, tika rasti atsevišķi pasākumi investīciju plūsmas uzlabošanai, vienošanās par mērķtiecīgu, pastiprinātu un koordinētu uzraudzību prognožu izpildei, riskiem, risinājumiem un starpinstitūciju fokusētu sadarbību, kad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sniegts atbalsts sekundāro ambulatoro pakalpojumu sniedzēju veselības aprūpes infrastruktūras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441 459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54 291 349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56 257 364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441 459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54 291 349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56 257 364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519 364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9 948 957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63 872 176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66 185 135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519 364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9 948 957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63 872 176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66 185 135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-1 492 344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-9 580 827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-9 927 771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-1 492 344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-9 580 827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-9 927 771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-1 492 344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-9 580 827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-9 927 771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pasākuma ietvaros plānotais attiecināmais finansējums ir 243 890 286 </w:t>
            </w:r>
            <w:r w:rsidR="00000000" w:rsidRPr="00000000" w:rsidDel="00000000">
              <w:rPr>
                <w:sz w:val="24"/>
                <w:i w:val="1"/>
                <w:rtl w:val="0"/>
              </w:rPr>
              <w:t xml:space="preserve">euro</w:t>
            </w:r>
            <w:r w:rsidR="00000000" w:rsidRPr="00000000" w:rsidDel="00000000">
              <w:rPr>
                <w:sz w:val="24"/>
                <w:rtl w:val="0"/>
              </w:rPr>
              <w:t xml:space="preserve">, tai skaitā ERAF finansējums ir 207 306 743 </w:t>
            </w:r>
            <w:r w:rsidR="00000000" w:rsidRPr="00000000" w:rsidDel="00000000">
              <w:rPr>
                <w:sz w:val="24"/>
                <w:i w:val="1"/>
                <w:rtl w:val="0"/>
              </w:rPr>
              <w:t xml:space="preserve">euro</w:t>
            </w:r>
            <w:r w:rsidR="00000000" w:rsidRPr="00000000" w:rsidDel="00000000">
              <w:rPr>
                <w:sz w:val="24"/>
                <w:rtl w:val="0"/>
              </w:rPr>
              <w:t xml:space="preserve"> un nacionālais finansējums, kas iekļauj valsts budžeta un privāto finansējumu, ir 36 583 543 </w:t>
            </w:r>
            <w:r w:rsidR="00000000" w:rsidRPr="00000000" w:rsidDel="00000000">
              <w:rPr>
                <w:sz w:val="24"/>
                <w:i w:val="1"/>
                <w:rtl w:val="0"/>
              </w:rPr>
              <w:t xml:space="preserve">euro</w:t>
            </w:r>
            <w:r w:rsidR="00000000" w:rsidRPr="00000000" w:rsidDel="00000000">
              <w:rPr>
                <w:sz w:val="24"/>
                <w:rtl w:val="0"/>
              </w:rPr>
              <w:t xml:space="preserve">, un pieejamais attiecināmais finansējums (bez elastības finansējuma) ir 197 207 993 </w:t>
            </w:r>
            <w:r w:rsidR="00000000" w:rsidRPr="00000000" w:rsidDel="00000000">
              <w:rPr>
                <w:sz w:val="24"/>
                <w:i w:val="1"/>
                <w:rtl w:val="0"/>
              </w:rPr>
              <w:t xml:space="preserve">euro</w:t>
            </w:r>
            <w:r w:rsidR="00000000" w:rsidRPr="00000000" w:rsidDel="00000000">
              <w:rPr>
                <w:sz w:val="24"/>
                <w:rtl w:val="0"/>
              </w:rPr>
              <w:t xml:space="preserve">, tai skaitā ERAF finansējums – 167 626 794 </w:t>
            </w:r>
            <w:r w:rsidR="00000000" w:rsidRPr="00000000" w:rsidDel="00000000">
              <w:rPr>
                <w:sz w:val="24"/>
                <w:i w:val="1"/>
                <w:rtl w:val="0"/>
              </w:rPr>
              <w:t xml:space="preserve">euro</w:t>
            </w:r>
            <w:r w:rsidR="00000000" w:rsidRPr="00000000" w:rsidDel="00000000">
              <w:rPr>
                <w:sz w:val="24"/>
                <w:rtl w:val="0"/>
              </w:rPr>
              <w:t xml:space="preserve"> apmērā un nacionālais finansējums, kas iekļauj valsts budžeta un privāto finansējumu, 29 581 199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 pasākuma ietvaros plānotais un pieejamais kopējais attiecināmais finansējums ir 80 397 986 </w:t>
            </w:r>
            <w:r w:rsidR="00000000" w:rsidRPr="00000000" w:rsidDel="00000000">
              <w:rPr>
                <w:sz w:val="24"/>
                <w:i w:val="1"/>
                <w:rtl w:val="0"/>
              </w:rPr>
              <w:t xml:space="preserve">euro</w:t>
            </w:r>
            <w:r w:rsidR="00000000" w:rsidRPr="00000000" w:rsidDel="00000000">
              <w:rPr>
                <w:sz w:val="24"/>
                <w:rtl w:val="0"/>
              </w:rPr>
              <w:t xml:space="preserve">, tai skaitā ERAF finansējums ir 68 338 288 </w:t>
            </w:r>
            <w:r w:rsidR="00000000" w:rsidRPr="00000000" w:rsidDel="00000000">
              <w:rPr>
                <w:sz w:val="24"/>
                <w:i w:val="1"/>
                <w:rtl w:val="0"/>
              </w:rPr>
              <w:t xml:space="preserve">euro</w:t>
            </w:r>
            <w:r w:rsidR="00000000" w:rsidRPr="00000000" w:rsidDel="00000000">
              <w:rPr>
                <w:sz w:val="24"/>
                <w:rtl w:val="0"/>
              </w:rPr>
              <w:t xml:space="preserve"> un nacionālais finansējums, kas iekļauj valsts budžeta un privāto finansējumu, ir 12 059 698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 pasākuma ietvaros plānotais kopējais finansējums ir 151 185 240 </w:t>
            </w:r>
            <w:r w:rsidR="00000000" w:rsidRPr="00000000" w:rsidDel="00000000">
              <w:rPr>
                <w:sz w:val="24"/>
                <w:i w:val="1"/>
                <w:rtl w:val="0"/>
              </w:rPr>
              <w:t xml:space="preserve">euro</w:t>
            </w:r>
            <w:r w:rsidR="00000000" w:rsidRPr="00000000" w:rsidDel="00000000">
              <w:rPr>
                <w:sz w:val="24"/>
                <w:rtl w:val="0"/>
              </w:rPr>
              <w:t xml:space="preserve">, tai skaitā ERAF finansējums ir 128 507 454 </w:t>
            </w:r>
            <w:r w:rsidR="00000000" w:rsidRPr="00000000" w:rsidDel="00000000">
              <w:rPr>
                <w:sz w:val="24"/>
                <w:i w:val="1"/>
                <w:rtl w:val="0"/>
              </w:rPr>
              <w:t xml:space="preserve">euro</w:t>
            </w:r>
            <w:r w:rsidR="00000000" w:rsidRPr="00000000" w:rsidDel="00000000">
              <w:rPr>
                <w:sz w:val="24"/>
                <w:rtl w:val="0"/>
              </w:rPr>
              <w:t xml:space="preserve"> un nacionālais finansējums, kas iekļauj valsts budžeta un privāto finansējumu, ir 22 677 786 </w:t>
            </w:r>
            <w:r w:rsidR="00000000" w:rsidRPr="00000000" w:rsidDel="00000000">
              <w:rPr>
                <w:sz w:val="24"/>
                <w:i w:val="1"/>
                <w:rtl w:val="0"/>
              </w:rPr>
              <w:t xml:space="preserve">euro</w:t>
            </w:r>
            <w:r w:rsidR="00000000" w:rsidRPr="00000000" w:rsidDel="00000000">
              <w:rPr>
                <w:sz w:val="24"/>
                <w:rtl w:val="0"/>
              </w:rPr>
              <w:t xml:space="preserve">, un pieejamais kopējais attiecināmais finansējums (bez elastības finansējuma) ir 104 502 947 </w:t>
            </w:r>
            <w:r w:rsidR="00000000" w:rsidRPr="00000000" w:rsidDel="00000000">
              <w:rPr>
                <w:sz w:val="24"/>
                <w:i w:val="1"/>
                <w:rtl w:val="0"/>
              </w:rPr>
              <w:t xml:space="preserve">euro</w:t>
            </w:r>
            <w:r w:rsidR="00000000" w:rsidRPr="00000000" w:rsidDel="00000000">
              <w:rPr>
                <w:sz w:val="24"/>
                <w:rtl w:val="0"/>
              </w:rPr>
              <w:t xml:space="preserve">, tai skaitā ERAF finansējums ir 88 827 505 </w:t>
            </w:r>
            <w:r w:rsidR="00000000" w:rsidRPr="00000000" w:rsidDel="00000000">
              <w:rPr>
                <w:sz w:val="24"/>
                <w:i w:val="1"/>
                <w:rtl w:val="0"/>
              </w:rPr>
              <w:t xml:space="preserve">euro</w:t>
            </w:r>
            <w:r w:rsidR="00000000" w:rsidRPr="00000000" w:rsidDel="00000000">
              <w:rPr>
                <w:sz w:val="24"/>
                <w:rtl w:val="0"/>
              </w:rPr>
              <w:t xml:space="preserve"> un nacionālais finansējums, kas iekļauj valsts budžeta un privāto finansējumu, ir 15 675 442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 pasākuma ietvaros plānotais un pieejamais kopējais attiecināmais finansējums ir 12 307 060 </w:t>
            </w:r>
            <w:r w:rsidR="00000000" w:rsidRPr="00000000" w:rsidDel="00000000">
              <w:rPr>
                <w:sz w:val="24"/>
                <w:i w:val="1"/>
                <w:rtl w:val="0"/>
              </w:rPr>
              <w:t xml:space="preserve">euro</w:t>
            </w:r>
            <w:r w:rsidR="00000000" w:rsidRPr="00000000" w:rsidDel="00000000">
              <w:rPr>
                <w:sz w:val="24"/>
                <w:rtl w:val="0"/>
              </w:rPr>
              <w:t xml:space="preserve">, tai skaitā ERAF finansējums ir 10 461 001 </w:t>
            </w:r>
            <w:r w:rsidR="00000000" w:rsidRPr="00000000" w:rsidDel="00000000">
              <w:rPr>
                <w:sz w:val="24"/>
                <w:i w:val="1"/>
                <w:rtl w:val="0"/>
              </w:rPr>
              <w:t xml:space="preserve">euro</w:t>
            </w:r>
            <w:r w:rsidR="00000000" w:rsidRPr="00000000" w:rsidDel="00000000">
              <w:rPr>
                <w:sz w:val="24"/>
                <w:rtl w:val="0"/>
              </w:rPr>
              <w:t xml:space="preserve"> un nacionālais valsts budžeta finansējums ir 1 846 059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par ministrijas padotības iestādēm tiks plānots ministrijas budžeta 62.08.00 apakšprogrammā „Eiropas Reģionālās attīstības fonda (ERAF) projektu veselības jomā īstenošana (2021-2027)” un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atbilstoši 2018. gada 17. jūlija Ministru kabineta noteikumos Nr. 421 “Kārtība, kādā veic gadskārtējā valsts budžeta likumā noteiktās apropriācijas izmaiņas” noteiktajam kārtībai, savukārt par pārējiem finansējuma saņēmējiem finansējums tiks plānots Finanšu ministrijas budžetā kā avansi un atmaksa finansējuma saņēmējiem par ERAF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no projekta attiecināmajām izmaksām. Visus minētos pasākumus plānots ieviest līdz 2029. gada 31. decembrim, tai skaitā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03"/>
              <w:gridCol w:w="678"/>
              <w:gridCol w:w="693"/>
              <w:gridCol w:w="781"/>
              <w:gridCol w:w="751"/>
              <w:gridCol w:w="736"/>
              <w:gridCol w:w="707"/>
              <w:gridCol w:w="751"/>
              <w:gridCol w:w="796"/>
              <w:tblGridChange w:id="0">
                <w:tblGrid>
                  <w:gridCol w:w="1003"/>
                  <w:gridCol w:w="678"/>
                  <w:gridCol w:w="693"/>
                  <w:gridCol w:w="781"/>
                  <w:gridCol w:w="751"/>
                  <w:gridCol w:w="736"/>
                  <w:gridCol w:w="707"/>
                  <w:gridCol w:w="751"/>
                  <w:gridCol w:w="7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4.1.1.1. I.kārta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388 793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5 615 668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33 108 148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11 822 460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11 822 460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11 822 460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5 817 997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80 397 986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ERAF,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330 474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4 773 318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28 141 926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10 049 091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10 049 091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10 049 091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4 945 297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68 338 288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nacionālais VB,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58 319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842 350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4 966 222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1 773 369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1 773 369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1 773 369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872 700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12 059 698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3 192 012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30 261 977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51 550 777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52 421 359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12 709 115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151 185 240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ERAF,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2 713 210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25 722 680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43 818 160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44 558 156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10 802 748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128 507 454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nacionālais VB,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478 802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4 539 297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7 732 617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7 863 203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1 906 367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22 677 786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130 571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1 141 277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2 811 898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1 061 222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1 257 261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5 402 781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12 307 060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ERAF,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110 985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970 085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426 743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2 390 113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902 039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1 068 672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4 592 364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10 461 001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nacionālais VB,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19 586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171 192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75 308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421 785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159 183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188 589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810 416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1 846 059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Visi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519 364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9 948 957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63 872 176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66 185 135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65 305 041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25 788 836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12 270 777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243 890 286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ERAF,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441 459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8 456 613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54 291 349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56 257 364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55 509 286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21 920 511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10 430 161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207 306 743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nacionālais VB,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77 905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1 492 344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9 580 827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9 927 771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9 795 755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3 868 325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1 840 616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36 583 543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līdzfinansējums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2020/852 (2020. gada 18. jūnijs) par regulējuma izveidi ilgtspējīgu ieguldījumu veicināšanai un ar ko groza Regulu (ES) 2019/2088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18. un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50. pants un IX.pielikums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2020/852 (2020. gada 18. jūnijs) par regulējuma izveidi ilgtspējīgu ieguldījumu veicināšanai un ar ko groza Regulu (ES) 2019/2088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Regulas 2020/852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Lielo slimnīcu asociācija, Latvijas Pašvaldību savienība, Veselības aprūpes darba devēju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“Nevalstisko organizāciju un Ministru kabineta sadarbības memorandu” un Ministru kabineta 2009.gada 25.augusta noteikumiem Nr.970 “Sabiedrības līdzdalības kārtība attīstības plānošanas procesā”, publiskā apspriešana tiks nodrošināta, izvietojot tiesības akta projektu Veselības ministrijas mājas lapā. Sabiedrības pārstāvji tiks aicināti izteikt priekšlikumu un viedokļus Tiesību aktu projektu publiskajā portālā. Tāpat priekšlikumu un viedokļu sniegšanai tiesību akta projekts tiks nodots Latvijas Pašvaldību savienībai, Latvijas Lielo pilsētu asociācijai, Latvijas Lielo slimnīcu asociācijai un Veselības aprūpes darba devēju asociācijai.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ka projekts izpilda nepieciešamās prasības principa “Nenodarīt būtisku kaitējumu” ievērošanai.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piekļūstamības (tajā skaitā, lai nodrošinātu piekļuvi personām ar funkcionāliem traucējumiem)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investīcijas ārstniecības iestāžu infrastruktūras stiprināšanai, tiks uzlabota veselības aprūpes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23-TA-742</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23-TA-742</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anotācija_(ex_ante)_23-TA-742.docx</dc:title>
</cp:coreProperties>
</file>

<file path=docProps/custom.xml><?xml version="1.0" encoding="utf-8"?>
<Properties xmlns="http://schemas.openxmlformats.org/officeDocument/2006/custom-properties" xmlns:vt="http://schemas.openxmlformats.org/officeDocument/2006/docPropsVTypes"/>
</file>