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B45F0" w14:textId="77777777" w:rsidR="00A972CC" w:rsidRDefault="00A972CC" w:rsidP="00AA5017">
      <w:pPr>
        <w:pStyle w:val="naisvisr"/>
        <w:spacing w:before="0" w:after="0" w:line="20" w:lineRule="atLeast"/>
        <w:ind w:left="3544"/>
        <w:jc w:val="right"/>
        <w:rPr>
          <w:b w:val="0"/>
          <w:color w:val="000000"/>
          <w:sz w:val="20"/>
          <w:szCs w:val="20"/>
        </w:rPr>
      </w:pPr>
      <w:bookmarkStart w:id="0" w:name="OLE_LINK7"/>
      <w:bookmarkStart w:id="1" w:name="OLE_LINK8"/>
      <w:bookmarkStart w:id="2" w:name="OLE_LINK10"/>
      <w:bookmarkStart w:id="3" w:name="OLE_LINK11"/>
      <w:bookmarkStart w:id="4" w:name="OLE_LINK1"/>
    </w:p>
    <w:p w14:paraId="6680B0B6" w14:textId="77777777" w:rsidR="00A972CC" w:rsidRDefault="00A972CC" w:rsidP="00AA5017">
      <w:pPr>
        <w:pStyle w:val="naisvisr"/>
        <w:spacing w:before="0" w:after="0" w:line="20" w:lineRule="atLeast"/>
        <w:ind w:left="3544"/>
        <w:jc w:val="right"/>
        <w:rPr>
          <w:b w:val="0"/>
          <w:color w:val="000000"/>
          <w:sz w:val="20"/>
          <w:szCs w:val="20"/>
        </w:rPr>
      </w:pPr>
    </w:p>
    <w:p w14:paraId="32DC7B0A" w14:textId="21C6E660" w:rsidR="00AA5017" w:rsidRPr="00163D0F" w:rsidRDefault="00AA5017" w:rsidP="00AA5017">
      <w:pPr>
        <w:pStyle w:val="naisvisr"/>
        <w:spacing w:before="0" w:after="0" w:line="20" w:lineRule="atLeast"/>
        <w:ind w:left="3544"/>
        <w:jc w:val="right"/>
        <w:rPr>
          <w:b w:val="0"/>
          <w:color w:val="000000"/>
          <w:sz w:val="20"/>
          <w:szCs w:val="20"/>
        </w:rPr>
      </w:pPr>
      <w:r w:rsidRPr="00D37BBE">
        <w:rPr>
          <w:b w:val="0"/>
          <w:color w:val="000000"/>
          <w:sz w:val="20"/>
          <w:szCs w:val="20"/>
        </w:rPr>
        <w:t>Pielikums Ministru kabineta rīkojuma projekta</w:t>
      </w:r>
      <w:r>
        <w:rPr>
          <w:b w:val="0"/>
          <w:color w:val="000000"/>
          <w:sz w:val="20"/>
          <w:szCs w:val="20"/>
        </w:rPr>
        <w:t xml:space="preserve"> </w:t>
      </w:r>
      <w:r w:rsidRPr="00D37BBE">
        <w:rPr>
          <w:b w:val="0"/>
          <w:color w:val="000000"/>
          <w:sz w:val="20"/>
          <w:szCs w:val="20"/>
        </w:rPr>
        <w:t>„</w:t>
      </w:r>
      <w:r w:rsidR="00163D0F" w:rsidRPr="00163D0F">
        <w:t xml:space="preserve"> </w:t>
      </w:r>
      <w:r w:rsidR="00163D0F" w:rsidRPr="00163D0F">
        <w:rPr>
          <w:b w:val="0"/>
          <w:color w:val="000000"/>
          <w:sz w:val="20"/>
          <w:szCs w:val="20"/>
        </w:rPr>
        <w:t>Par finansējumu Rīgas pils Konventa Pils laukumā 3, Rīgā, un Muzeju krātuvju kompleksa Pulka ielā 8, Rīgā, būvniecības projekta, nomas maksas, pārcelšanās un aprīkojuma iegādes izdevumu segšanai</w:t>
      </w:r>
      <w:r w:rsidRPr="00D37BBE">
        <w:rPr>
          <w:b w:val="0"/>
          <w:color w:val="000000"/>
          <w:sz w:val="20"/>
          <w:szCs w:val="20"/>
        </w:rPr>
        <w:t xml:space="preserve">” </w:t>
      </w:r>
      <w:r w:rsidRPr="00163D0F">
        <w:rPr>
          <w:b w:val="0"/>
          <w:color w:val="000000"/>
          <w:sz w:val="20"/>
          <w:szCs w:val="20"/>
        </w:rPr>
        <w:t>sākotnējās ietekmes novērtējuma ziņojumam (anotācijai)</w:t>
      </w:r>
      <w:bookmarkEnd w:id="0"/>
      <w:bookmarkEnd w:id="1"/>
      <w:bookmarkEnd w:id="2"/>
      <w:bookmarkEnd w:id="3"/>
      <w:bookmarkEnd w:id="4"/>
    </w:p>
    <w:p w14:paraId="4F68F12B" w14:textId="77777777" w:rsidR="00AA5017" w:rsidRDefault="00AA5017" w:rsidP="00AA5017">
      <w:pPr>
        <w:pStyle w:val="NormalWeb"/>
        <w:spacing w:before="0" w:beforeAutospacing="0" w:after="0" w:afterAutospacing="0"/>
        <w:ind w:left="426"/>
        <w:jc w:val="center"/>
        <w:rPr>
          <w:b/>
          <w:sz w:val="20"/>
          <w:szCs w:val="20"/>
        </w:rPr>
      </w:pPr>
    </w:p>
    <w:p w14:paraId="07F8E3DA" w14:textId="77777777" w:rsidR="00AA5017" w:rsidRPr="00654063" w:rsidRDefault="00AA5017" w:rsidP="00AA5017">
      <w:pPr>
        <w:spacing w:after="0" w:line="240" w:lineRule="auto"/>
        <w:jc w:val="center"/>
        <w:rPr>
          <w:b/>
          <w:sz w:val="20"/>
          <w:szCs w:val="20"/>
        </w:rPr>
      </w:pPr>
    </w:p>
    <w:p w14:paraId="7249E4E1" w14:textId="5589E3AF" w:rsidR="00AA5017" w:rsidRDefault="00AA5017" w:rsidP="00AA50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335">
        <w:rPr>
          <w:rFonts w:ascii="Times New Roman" w:hAnsi="Times New Roman" w:cs="Times New Roman"/>
          <w:b/>
          <w:sz w:val="24"/>
          <w:szCs w:val="24"/>
        </w:rPr>
        <w:t xml:space="preserve">Precizētā provizoriskā naudas plūsma sadalījumā pa gadiem, </w:t>
      </w:r>
      <w:proofErr w:type="spellStart"/>
      <w:r w:rsidRPr="000B5335">
        <w:rPr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Pr="000B533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B53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5F08ADD" w14:textId="77777777" w:rsidR="00163D0F" w:rsidRPr="000B5335" w:rsidRDefault="00163D0F" w:rsidP="00AA501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7DE7EE8" w14:textId="1FD2C45A" w:rsidR="00AA5017" w:rsidRDefault="00163D0F" w:rsidP="00163D0F">
      <w:pPr>
        <w:spacing w:after="0" w:line="240" w:lineRule="auto"/>
        <w:ind w:left="10800" w:right="111"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AA5017" w:rsidRPr="000B5335">
        <w:rPr>
          <w:rFonts w:ascii="Times New Roman" w:hAnsi="Times New Roman" w:cs="Times New Roman"/>
          <w:sz w:val="20"/>
          <w:szCs w:val="20"/>
        </w:rPr>
        <w:t xml:space="preserve"> 1.tabula</w:t>
      </w:r>
    </w:p>
    <w:p w14:paraId="7282A773" w14:textId="77777777" w:rsidR="00163D0F" w:rsidRPr="000B5335" w:rsidRDefault="00163D0F" w:rsidP="00AA5017">
      <w:pPr>
        <w:spacing w:after="0" w:line="240" w:lineRule="auto"/>
        <w:ind w:right="111"/>
        <w:jc w:val="right"/>
        <w:rPr>
          <w:rFonts w:ascii="Times New Roman" w:hAnsi="Times New Roman" w:cs="Times New Roman"/>
          <w:sz w:val="20"/>
          <w:szCs w:val="20"/>
        </w:rPr>
      </w:pPr>
    </w:p>
    <w:p w14:paraId="743D52FD" w14:textId="29B87A8D" w:rsidR="00D211A3" w:rsidRDefault="00EE7137" w:rsidP="000B5335">
      <w:pPr>
        <w:jc w:val="center"/>
      </w:pPr>
      <w:r w:rsidRPr="00EE7137">
        <w:drawing>
          <wp:inline distT="0" distB="0" distL="0" distR="0" wp14:anchorId="7A9EC442" wp14:editId="0B5E5C7C">
            <wp:extent cx="7581900" cy="329739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7306" cy="3299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4497F" w14:textId="257472F7" w:rsidR="00A972CC" w:rsidRDefault="00A972CC" w:rsidP="000B5335">
      <w:pPr>
        <w:jc w:val="center"/>
      </w:pPr>
    </w:p>
    <w:p w14:paraId="7F6B41CC" w14:textId="50C827AB" w:rsidR="00A972CC" w:rsidRDefault="00A972CC" w:rsidP="000B5335">
      <w:pPr>
        <w:jc w:val="center"/>
      </w:pPr>
    </w:p>
    <w:p w14:paraId="29A6AF01" w14:textId="7A9471B5" w:rsidR="00A972CC" w:rsidRDefault="00A972CC" w:rsidP="000B5335">
      <w:pPr>
        <w:jc w:val="center"/>
      </w:pPr>
    </w:p>
    <w:p w14:paraId="2BDB1D5F" w14:textId="10029FA7" w:rsidR="00A972CC" w:rsidRDefault="00A972CC" w:rsidP="000B5335">
      <w:pPr>
        <w:jc w:val="center"/>
      </w:pPr>
    </w:p>
    <w:p w14:paraId="4FB390D9" w14:textId="36C8C41A" w:rsidR="00A972CC" w:rsidRDefault="00A972CC" w:rsidP="000B5335">
      <w:pPr>
        <w:jc w:val="center"/>
      </w:pPr>
    </w:p>
    <w:p w14:paraId="55F06E42" w14:textId="6010D61A" w:rsidR="00A972CC" w:rsidRDefault="00A972CC" w:rsidP="00A972CC">
      <w:pPr>
        <w:ind w:right="159"/>
        <w:jc w:val="center"/>
        <w:rPr>
          <w:noProof/>
        </w:rPr>
      </w:pPr>
      <w:r w:rsidRPr="007C4E8F">
        <w:rPr>
          <w:b/>
          <w:bCs/>
          <w:sz w:val="24"/>
          <w:szCs w:val="24"/>
        </w:rPr>
        <w:t>Centrālās statistikas pārvaldes apkopotā statistika par būvniecības kopējo izmaksu indeksu nedzīvojamām ēkām</w:t>
      </w:r>
      <w:r>
        <w:rPr>
          <w:noProof/>
        </w:rPr>
        <w:t xml:space="preserve"> </w:t>
      </w:r>
    </w:p>
    <w:p w14:paraId="00F28921" w14:textId="5C9EFBA0" w:rsidR="00A972CC" w:rsidRDefault="00A972CC" w:rsidP="00A972CC">
      <w:pPr>
        <w:ind w:right="159"/>
        <w:jc w:val="right"/>
        <w:rPr>
          <w:noProof/>
        </w:rPr>
      </w:pPr>
      <w:r>
        <w:rPr>
          <w:noProof/>
        </w:rPr>
        <w:t>Attēls Nr.1</w:t>
      </w:r>
    </w:p>
    <w:p w14:paraId="5F4B2CAA" w14:textId="77777777" w:rsidR="00A972CC" w:rsidRDefault="00A972CC" w:rsidP="00A972CC">
      <w:pPr>
        <w:ind w:right="159"/>
        <w:jc w:val="center"/>
        <w:rPr>
          <w:noProof/>
        </w:rPr>
      </w:pPr>
    </w:p>
    <w:p w14:paraId="6358FAA6" w14:textId="6EEB9DC7" w:rsidR="00A972CC" w:rsidRPr="0052324B" w:rsidRDefault="00A972CC" w:rsidP="00A972CC">
      <w:pPr>
        <w:ind w:right="159"/>
        <w:jc w:val="center"/>
        <w:rPr>
          <w:color w:val="414142"/>
          <w:sz w:val="24"/>
          <w:szCs w:val="24"/>
        </w:rPr>
      </w:pPr>
      <w:r>
        <w:rPr>
          <w:noProof/>
        </w:rPr>
        <w:drawing>
          <wp:inline distT="0" distB="0" distL="0" distR="0" wp14:anchorId="4BA2B8A7" wp14:editId="1B6B816D">
            <wp:extent cx="8930640" cy="2415540"/>
            <wp:effectExtent l="0" t="0" r="3810" b="381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70B830C6-DAD7-4DCB-9ECF-72E7E2426BA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7949EF3" w14:textId="77777777" w:rsidR="00A972CC" w:rsidRPr="0052324B" w:rsidRDefault="00A972CC" w:rsidP="00A972CC">
      <w:pPr>
        <w:ind w:left="141" w:right="159" w:firstLine="283"/>
        <w:rPr>
          <w:i/>
          <w:iCs/>
          <w:sz w:val="18"/>
          <w:szCs w:val="18"/>
        </w:rPr>
      </w:pPr>
      <w:r w:rsidRPr="0052324B">
        <w:rPr>
          <w:i/>
          <w:iCs/>
          <w:sz w:val="24"/>
          <w:szCs w:val="24"/>
        </w:rPr>
        <w:t>*</w:t>
      </w:r>
      <w:r w:rsidRPr="0052324B">
        <w:rPr>
          <w:i/>
          <w:iCs/>
          <w:sz w:val="18"/>
          <w:szCs w:val="18"/>
        </w:rPr>
        <w:t>Būvniecības kopējo izmaksu indekss nedzīvojamām ēkām 2010Q1-2022Q4, avots CSP dati, tendences līkne pašu aprēķināta. Atzīmēts būvdarbu līguma sākuma ceturksnis (2020.g. II. ceturksnis, un pēdējā pieejamā ceturkšņa indeksa vērtība)</w:t>
      </w:r>
    </w:p>
    <w:p w14:paraId="4F17E92B" w14:textId="77777777" w:rsidR="00A972CC" w:rsidRDefault="00A972CC" w:rsidP="000B5335">
      <w:pPr>
        <w:jc w:val="center"/>
      </w:pPr>
    </w:p>
    <w:sectPr w:rsidR="00A972CC" w:rsidSect="00D211A3">
      <w:pgSz w:w="16838" w:h="11906" w:orient="landscape"/>
      <w:pgMar w:top="1800" w:right="1440" w:bottom="180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9217A" w14:textId="77777777" w:rsidR="00056983" w:rsidRDefault="00056983" w:rsidP="00D211A3">
      <w:pPr>
        <w:spacing w:after="0" w:line="240" w:lineRule="auto"/>
      </w:pPr>
      <w:r>
        <w:separator/>
      </w:r>
    </w:p>
  </w:endnote>
  <w:endnote w:type="continuationSeparator" w:id="0">
    <w:p w14:paraId="107A3DB5" w14:textId="77777777" w:rsidR="00056983" w:rsidRDefault="00056983" w:rsidP="00D21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7AE9D" w14:textId="77777777" w:rsidR="00056983" w:rsidRDefault="00056983" w:rsidP="00D211A3">
      <w:pPr>
        <w:spacing w:after="0" w:line="240" w:lineRule="auto"/>
      </w:pPr>
      <w:r>
        <w:separator/>
      </w:r>
    </w:p>
  </w:footnote>
  <w:footnote w:type="continuationSeparator" w:id="0">
    <w:p w14:paraId="636A11AC" w14:textId="77777777" w:rsidR="00056983" w:rsidRDefault="00056983" w:rsidP="00D211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1A3"/>
    <w:rsid w:val="00056983"/>
    <w:rsid w:val="000B5335"/>
    <w:rsid w:val="00163D0F"/>
    <w:rsid w:val="001B6F44"/>
    <w:rsid w:val="002F4F2D"/>
    <w:rsid w:val="006E3299"/>
    <w:rsid w:val="00A577A9"/>
    <w:rsid w:val="00A972CC"/>
    <w:rsid w:val="00AA5017"/>
    <w:rsid w:val="00D211A3"/>
    <w:rsid w:val="00D36F18"/>
    <w:rsid w:val="00D7029E"/>
    <w:rsid w:val="00DB521E"/>
    <w:rsid w:val="00E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06FB5F"/>
  <w15:chartTrackingRefBased/>
  <w15:docId w15:val="{E012F721-4F6C-4C10-A185-3A9DA012F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A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visr">
    <w:name w:val="naisvisr"/>
    <w:basedOn w:val="Normal"/>
    <w:rsid w:val="00AA5017"/>
    <w:pPr>
      <w:spacing w:before="150" w:after="15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0B53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335"/>
  </w:style>
  <w:style w:type="paragraph" w:styleId="Footer">
    <w:name w:val="footer"/>
    <w:basedOn w:val="Normal"/>
    <w:link w:val="FooterChar"/>
    <w:uiPriority w:val="99"/>
    <w:unhideWhenUsed/>
    <w:rsid w:val="000B53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7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ruzas\AppData\Local\Microsoft\Windows\INetCache\Content.Outlook\7SN0SAMB\RCB030c1_20220511-115316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lv-LV"/>
              <a:t>Būvniecības kopējo izmaksu indekss Nedzīvojamās ēkas (2015=100)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v-LV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44"/>
              <c:layout>
                <c:manualLayout>
                  <c:x val="1.0754319683815303E-2"/>
                  <c:y val="2.4250869838176894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BD0-40A0-8445-2886C18110CE}"/>
                </c:ext>
              </c:extLst>
            </c:dLbl>
            <c:dLbl>
              <c:idx val="48"/>
              <c:layout>
                <c:manualLayout>
                  <c:x val="-5.57269292706793E-2"/>
                  <c:y val="-1.6167246558784622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BD0-40A0-8445-2886C18110CE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lv-LV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RCB030c1!$B$3:$B$51</c:f>
              <c:strCache>
                <c:ptCount val="49"/>
                <c:pt idx="0">
                  <c:v>2010Q1</c:v>
                </c:pt>
                <c:pt idx="1">
                  <c:v>2010Q2</c:v>
                </c:pt>
                <c:pt idx="2">
                  <c:v>2010Q3</c:v>
                </c:pt>
                <c:pt idx="3">
                  <c:v>2010Q4</c:v>
                </c:pt>
                <c:pt idx="4">
                  <c:v>2011Q1</c:v>
                </c:pt>
                <c:pt idx="5">
                  <c:v>2011Q2</c:v>
                </c:pt>
                <c:pt idx="6">
                  <c:v>2011Q3</c:v>
                </c:pt>
                <c:pt idx="7">
                  <c:v>2011Q4</c:v>
                </c:pt>
                <c:pt idx="8">
                  <c:v>2012Q1</c:v>
                </c:pt>
                <c:pt idx="9">
                  <c:v>2012Q2</c:v>
                </c:pt>
                <c:pt idx="10">
                  <c:v>2012Q3</c:v>
                </c:pt>
                <c:pt idx="11">
                  <c:v>2012Q4</c:v>
                </c:pt>
                <c:pt idx="12">
                  <c:v>2013Q1</c:v>
                </c:pt>
                <c:pt idx="13">
                  <c:v>2013Q2</c:v>
                </c:pt>
                <c:pt idx="14">
                  <c:v>2013Q3</c:v>
                </c:pt>
                <c:pt idx="15">
                  <c:v>2013Q4</c:v>
                </c:pt>
                <c:pt idx="16">
                  <c:v>2014Q1</c:v>
                </c:pt>
                <c:pt idx="17">
                  <c:v>2014Q2</c:v>
                </c:pt>
                <c:pt idx="18">
                  <c:v>2014Q3</c:v>
                </c:pt>
                <c:pt idx="19">
                  <c:v>2014Q4</c:v>
                </c:pt>
                <c:pt idx="20">
                  <c:v>2015Q1</c:v>
                </c:pt>
                <c:pt idx="21">
                  <c:v>2015Q2</c:v>
                </c:pt>
                <c:pt idx="22">
                  <c:v>2015Q3</c:v>
                </c:pt>
                <c:pt idx="23">
                  <c:v>2015Q4</c:v>
                </c:pt>
                <c:pt idx="24">
                  <c:v>2016Q1</c:v>
                </c:pt>
                <c:pt idx="25">
                  <c:v>2016Q2</c:v>
                </c:pt>
                <c:pt idx="26">
                  <c:v>2016Q3</c:v>
                </c:pt>
                <c:pt idx="27">
                  <c:v>2016Q4</c:v>
                </c:pt>
                <c:pt idx="28">
                  <c:v>2017Q1</c:v>
                </c:pt>
                <c:pt idx="29">
                  <c:v>2017Q2</c:v>
                </c:pt>
                <c:pt idx="30">
                  <c:v>2017Q3</c:v>
                </c:pt>
                <c:pt idx="31">
                  <c:v>2017Q4</c:v>
                </c:pt>
                <c:pt idx="32">
                  <c:v>2018Q1</c:v>
                </c:pt>
                <c:pt idx="33">
                  <c:v>2018Q2</c:v>
                </c:pt>
                <c:pt idx="34">
                  <c:v>2018Q3</c:v>
                </c:pt>
                <c:pt idx="35">
                  <c:v>2018Q4</c:v>
                </c:pt>
                <c:pt idx="36">
                  <c:v>2019Q1</c:v>
                </c:pt>
                <c:pt idx="37">
                  <c:v>2019Q2</c:v>
                </c:pt>
                <c:pt idx="38">
                  <c:v>2019Q3</c:v>
                </c:pt>
                <c:pt idx="39">
                  <c:v>2019Q4</c:v>
                </c:pt>
                <c:pt idx="40">
                  <c:v>2020Q1</c:v>
                </c:pt>
                <c:pt idx="41">
                  <c:v>2020Q2</c:v>
                </c:pt>
                <c:pt idx="42">
                  <c:v>2020Q3</c:v>
                </c:pt>
                <c:pt idx="43">
                  <c:v>2020Q4</c:v>
                </c:pt>
                <c:pt idx="44">
                  <c:v>2021Q1</c:v>
                </c:pt>
                <c:pt idx="45">
                  <c:v>2021Q2</c:v>
                </c:pt>
                <c:pt idx="46">
                  <c:v>2021Q3</c:v>
                </c:pt>
                <c:pt idx="47">
                  <c:v>2021Q4</c:v>
                </c:pt>
                <c:pt idx="48">
                  <c:v>2022Q1</c:v>
                </c:pt>
              </c:strCache>
            </c:strRef>
          </c:cat>
          <c:val>
            <c:numRef>
              <c:f>RCB030c1!$C$3:$C$51</c:f>
              <c:numCache>
                <c:formatCode>0.0</c:formatCode>
                <c:ptCount val="49"/>
                <c:pt idx="0">
                  <c:v>90.3</c:v>
                </c:pt>
                <c:pt idx="1">
                  <c:v>91.3</c:v>
                </c:pt>
                <c:pt idx="2">
                  <c:v>90.6</c:v>
                </c:pt>
                <c:pt idx="3">
                  <c:v>90.6</c:v>
                </c:pt>
                <c:pt idx="4">
                  <c:v>88.5</c:v>
                </c:pt>
                <c:pt idx="5">
                  <c:v>89</c:v>
                </c:pt>
                <c:pt idx="6">
                  <c:v>90.3</c:v>
                </c:pt>
                <c:pt idx="7">
                  <c:v>91.6</c:v>
                </c:pt>
                <c:pt idx="8">
                  <c:v>92.3</c:v>
                </c:pt>
                <c:pt idx="9">
                  <c:v>95</c:v>
                </c:pt>
                <c:pt idx="10">
                  <c:v>97</c:v>
                </c:pt>
                <c:pt idx="11">
                  <c:v>97</c:v>
                </c:pt>
                <c:pt idx="12">
                  <c:v>96.1</c:v>
                </c:pt>
                <c:pt idx="13">
                  <c:v>96.7</c:v>
                </c:pt>
                <c:pt idx="14">
                  <c:v>97.2</c:v>
                </c:pt>
                <c:pt idx="15">
                  <c:v>97.5</c:v>
                </c:pt>
                <c:pt idx="16">
                  <c:v>96.7</c:v>
                </c:pt>
                <c:pt idx="17">
                  <c:v>98.1</c:v>
                </c:pt>
                <c:pt idx="18">
                  <c:v>98.3</c:v>
                </c:pt>
                <c:pt idx="19">
                  <c:v>98.8</c:v>
                </c:pt>
                <c:pt idx="20">
                  <c:v>99.4</c:v>
                </c:pt>
                <c:pt idx="21">
                  <c:v>100.3</c:v>
                </c:pt>
                <c:pt idx="22">
                  <c:v>100.2</c:v>
                </c:pt>
                <c:pt idx="23">
                  <c:v>100.1</c:v>
                </c:pt>
                <c:pt idx="24">
                  <c:v>100</c:v>
                </c:pt>
                <c:pt idx="25">
                  <c:v>100.3</c:v>
                </c:pt>
                <c:pt idx="26">
                  <c:v>100.8</c:v>
                </c:pt>
                <c:pt idx="27">
                  <c:v>100.7</c:v>
                </c:pt>
                <c:pt idx="28">
                  <c:v>100.9</c:v>
                </c:pt>
                <c:pt idx="29">
                  <c:v>102.7</c:v>
                </c:pt>
                <c:pt idx="30">
                  <c:v>103.5</c:v>
                </c:pt>
                <c:pt idx="31">
                  <c:v>104.8</c:v>
                </c:pt>
                <c:pt idx="32">
                  <c:v>105.9</c:v>
                </c:pt>
                <c:pt idx="33">
                  <c:v>107.6</c:v>
                </c:pt>
                <c:pt idx="34">
                  <c:v>109.5</c:v>
                </c:pt>
                <c:pt idx="35">
                  <c:v>110.8</c:v>
                </c:pt>
                <c:pt idx="36">
                  <c:v>111.3</c:v>
                </c:pt>
                <c:pt idx="37">
                  <c:v>112.9</c:v>
                </c:pt>
                <c:pt idx="38">
                  <c:v>113.7</c:v>
                </c:pt>
                <c:pt idx="39">
                  <c:v>115</c:v>
                </c:pt>
                <c:pt idx="40">
                  <c:v>115.4</c:v>
                </c:pt>
                <c:pt idx="41">
                  <c:v>116</c:v>
                </c:pt>
                <c:pt idx="42">
                  <c:v>116.6</c:v>
                </c:pt>
                <c:pt idx="43">
                  <c:v>116.7</c:v>
                </c:pt>
                <c:pt idx="44">
                  <c:v>117.7</c:v>
                </c:pt>
                <c:pt idx="45">
                  <c:v>122.7</c:v>
                </c:pt>
                <c:pt idx="46">
                  <c:v>129.1</c:v>
                </c:pt>
                <c:pt idx="47">
                  <c:v>132.30000000000001</c:v>
                </c:pt>
                <c:pt idx="48">
                  <c:v>139.30000000000001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BD0-40A0-8445-2886C18110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31972215"/>
        <c:axId val="131968607"/>
      </c:lineChart>
      <c:catAx>
        <c:axId val="1319722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v-LV"/>
          </a:p>
        </c:txPr>
        <c:crossAx val="131968607"/>
        <c:crosses val="autoZero"/>
        <c:auto val="1"/>
        <c:lblAlgn val="ctr"/>
        <c:lblOffset val="100"/>
        <c:noMultiLvlLbl val="0"/>
      </c:catAx>
      <c:valAx>
        <c:axId val="1319686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v-LV"/>
          </a:p>
        </c:txPr>
        <c:crossAx val="131972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v-LV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2E2F809A46DFFA42A1A129D98068B3E9" ma:contentTypeVersion="13" ma:contentTypeDescription="Izveidot jaunu dokumentu." ma:contentTypeScope="" ma:versionID="e41d4cde0cdf3564fab4b8b0535186f9">
  <xsd:schema xmlns:xsd="http://www.w3.org/2001/XMLSchema" xmlns:xs="http://www.w3.org/2001/XMLSchema" xmlns:p="http://schemas.microsoft.com/office/2006/metadata/properties" xmlns:ns1="http://schemas.microsoft.com/sharepoint/v3" xmlns:ns2="b6b6b0de-984a-4a78-a39f-cb9c8b26df3b" xmlns:ns3="30f27a67-e3d9-46c1-b96c-c174a62fd7b5" targetNamespace="http://schemas.microsoft.com/office/2006/metadata/properties" ma:root="true" ma:fieldsID="cf11faacee851a9a590a1f85ea13cdea" ns1:_="" ns2:_="" ns3:_="">
    <xsd:import namespace="http://schemas.microsoft.com/sharepoint/v3"/>
    <xsd:import namespace="b6b6b0de-984a-4a78-a39f-cb9c8b26df3b"/>
    <xsd:import namespace="30f27a67-e3d9-46c1-b96c-c174a62fd7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Vienotās atbilstības politikas rekvizīt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Vienotās atbilstības politikas UI darbīb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6b0de-984a-4a78-a39f-cb9c8b26df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27a67-e3d9-46c1-b96c-c174a62fd7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FF14367-4513-488A-8B0B-8329542D5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b6b0de-984a-4a78-a39f-cb9c8b26df3b"/>
    <ds:schemaRef ds:uri="30f27a67-e3d9-46c1-b96c-c174a62fd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91222-0086-4941-ACE9-0595FA130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6E6CB8-5AFF-4F64-89D3-845DE61A26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VAS Valsts nekustamie ipasumi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Zavadska</dc:creator>
  <cp:keywords/>
  <dc:description/>
  <cp:lastModifiedBy>Sabīne Ālmane</cp:lastModifiedBy>
  <cp:revision>2</cp:revision>
  <dcterms:created xsi:type="dcterms:W3CDTF">2022-05-16T16:52:00Z</dcterms:created>
  <dcterms:modified xsi:type="dcterms:W3CDTF">2022-05-16T16:52:00Z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0x0101002E2F809A46DFFA42A1A129D98068B3E9</vt:lpwstr>
  </property>
</Properties>
</file>