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programmu 2021. – 2027. gadam 4.2.1.5. pasākuma "Izglītības iestāžu nodrošinājums pilnveidotā vispārējās izglītības satura kvalitatīvai ieviešanai pamata un vidējās izglītības pakāpē" (turpmāk – 4.2.1.5. pasākums) otrās projekta iesniegumu atlases kārtas īstenošanas nosacījumus, lai atbalstītu tās pašvaldības, kas ir veikušas vispārējās izglītības iestāžu tīkla sakārtošanu, kā arī Rīgas valsts pilsētas pašvaldību izņēmuma kārtā.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Deklarācijā par Evikas Siliņas vadītā Ministru kabineta iecerēto darbību ir teikts, ka kopējs darbs izglītības uzlabošanā ir veicamie soļi, lai vairotu ikviena Latvijas iedzīvotāja piederības sajūtu un kopējo valsts labklājību, kā arī, ka mūsdienu demogrāfijas izaicinājumi risināmi gan ar investīcijām bērnu nākotnē, gan ar kvalitatīvas izglītības iespējām no bērnības līdz sirmam vecumam. Izglītības sistēmai jānodrošina katram bērnam iespēja apgūt nepieciešamās zināšanas un kompetences, kā arī jānostiprina motivācija un spēja turpināt izglītoties pēc skolas beigšanas. Ikvienam bērnam Latvijā neatkarīgi no dzīvesvietas ir jānodrošina kvalitatīva izglītība, kuru īsteno motivēti pedagogi ilgtspējīgā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novembra sēdē apstiprinātā informatīvajā ziņojumā “Kompleksi risinājumi augstvērtīgai izglītības nodrošināšanai vispārējā pamata un vidējā izglītībā” (turpmāk – informatīvais ziņojums par kompleksiem risinājumiem augstvērtīgai izglītības nodrošināšanai) ir noteikts, ka lai nodrošinātu izglītības kvalitāti un līdzvērtīgas iespējas izglītības programmas apguvei neatkarīgi no skolēna dzīvesvietas, uzlabotu izglītības sistēmas infrastruktūras, cilvēkkapitāla un finanšu resursu pārvaldību, panāktu būtisku pedagogu darba atalgojuma pieaugumu, kas ir viens no būtiskiem motivācijas faktoriem pedagogu labizjūtas uzlabošanai, nepieciešams rast kompleksus risinājumus efektīvai vispārējās izglītības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minētā informatīvā ziņojuma 2023.gada 21.jūnija protokollēmuma Nr.58, 66. § 4.3.apakšpunktu, Izglītības un zinātnes ministrija apkopoja pašvaldību vajadzības par nepieciešamajām investīcijām izglītības infrastruktūras paplašināšanai un/vai dienesta viesnīcu celtniecībai.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iestāžu tīkla sakārtošana ir būtisks priekšnosacījums,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sekmētu kvalitatīvas, izglītojamā spējas attīstošas izglītības piekļūstamību katram izglītojamajam;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racionālu un efektīvu izglītības resursu izmantošanu, tādējādi veicinot iespēju izglītības iestādēs modernizēt mācību vidi, nodrošināt mācību satura apguvei nepieciešamo aprīkojumu, kā arī izglītības iestādes pedagogiem radīt konkurētspējīgu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palielinātu atbalsta personāla un pakalpojumu piekļūstamību atbilstoši izglītojamo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piemērotos apstākļus izglītības satura apguvei un nodrošināšanā, jāturpina investīcijas pašvaldības izglītības iestāžu infrastruktūrā, īpaši atbalstot tās pašvaldībās, kas ir izpildījušas izglītības iestāžu tīkla optimizācijas kritērijus.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4.2.1.5. pasākuma otrās projektu iesniegumu atlases kārtas ieviešanu, lai nodrošinātu  atbalstu pašvaldībām, kuras ir pabeigušas tās administratīvajā teritorijā esošo vispārējās izglītības iestāžu tīkla sakārtošanu, ko apliecina Izglītības un zinātnes ministrijā iesniegti vai saskaņoti pašvaldības domes pieņemti lēmumi par pašvaldības dibinātu vispārējās izglītības iestāžu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 kārtas ieviešana sekmē 2021.gada 22.jūnijā Ministru kabinetā apstiprinātās Izglītības attīstības pamatnostādnēs 2021. –2027.gadam (turpmāk – IAP2027) noteiktā 2.2.1.uzdevuma “Stiprināt vispārējās izglītības iestāžu nodrošinājumu ar mūsdienīgas un kvalitatīvas izglītības īstenošanai nepieciešamajiem resursiem, pilnveidot mācību vidi un infrastruktūru” izpildi, kā arī atbilst Valdības rīcības plānā noteiktajam pasākumam (Nr. 27.3) par ilgtspējīgas izglītības ekosistēmas projektu attīstību.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 projekta iesniegumu atlases kārta pēctecīgi turpina Eiropas Savienības fondu 2014. – 2020. gada plānošanas periodā 8.1.2. specifiskā atbalsta mērķa „Uzlabot vispārējās izglītības iestāžu mācību vidi”, t.sk. REACT-EU atbalstu, kuram bijusi nozīmīga ietekme arī uz pašvaldību izglītības iestāžu tīkla sakārtošanu, ievērojot, ka tā ieviešanas noteikumi paredzēja izglītības iestādes atbilstību stratēģiskajiem priekšatlases kritērijiem, tostarp kritērijam par izglītojamo skaitu. Atveseļošanas fonda 3.1.1.5. investīcija „Izglītības iestāžu infrastruktūras pilnveide un aprīkošana” (turpmāk – 3.1.1.5. investīcija) sniegusi ieguldījumu vispārējās izglītības iestāžu tīkla attīstībā, nodrošinot efektīvu resursu izmantošanu un koncentrāciju, stiprinot izglītojamo skaita ziņā ilgtspējīgas pamatskolas, tādejādi veicinot kvalitatīvas izglītības ieguvi ārpus novadu pašvaldību administratīvajiem centriem.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w:t>
      </w:r>
      <w:r w:rsidR="00000000" w:rsidRPr="00000000" w:rsidDel="00000000">
        <w:rPr>
          <w:b w:val="1"/>
          <w:rtl w:val="0"/>
        </w:rPr>
        <w:t xml:space="preserve">mērķis </w:t>
      </w:r>
      <w:r w:rsidR="00000000" w:rsidRPr="00000000" w:rsidDel="00000000">
        <w:rPr>
          <w:rtl w:val="0"/>
        </w:rPr>
        <w:t xml:space="preserve">ir sniegt atbalstu tām pašvaldībām, kas ir sakārtojušas izglītības iestāžu tīklu, un Rīgas valstspilsētas pašvaldībai, lai uzlabotu to vispārējās izglītības iestāžu mācību  vidi, nodrošinātu  efektīvu resursu koncentrēšanu un izmantošanu un stiprinātu vispārējās izglītības iestāžu nodrošinājumu ar mūsdienīgas un kvalitatīvas pamata un vidējās izglītības īstenošanai nepieciešamo nodrošinājumu, tādējādi uzlabojot piekļuvi kvalitatīviem pakalpojumiem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w:t>
      </w:r>
      <w:r w:rsidR="00000000" w:rsidRPr="00000000" w:rsidDel="00000000">
        <w:rPr>
          <w:b w:val="1"/>
          <w:rtl w:val="0"/>
        </w:rPr>
        <w:t xml:space="preserve">mērķa grupa</w:t>
      </w:r>
      <w:r w:rsidR="00000000" w:rsidRPr="00000000" w:rsidDel="00000000">
        <w:rPr>
          <w:rtl w:val="0"/>
        </w:rPr>
        <w:t xml:space="preserve"> ir pašvaldības un to dibinātas pamata un vispārējās vidējās izglītības iestādes, to pedagogi un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iesnieguma atlases kārtas īstenošanai plānotais un pieejamais </w:t>
      </w:r>
      <w:r w:rsidR="00000000" w:rsidRPr="00000000" w:rsidDel="00000000">
        <w:rPr>
          <w:b w:val="1"/>
          <w:rtl w:val="0"/>
        </w:rPr>
        <w:t xml:space="preserve">finansējums  </w:t>
      </w:r>
      <w:r w:rsidR="00000000" w:rsidRPr="00000000" w:rsidDel="00000000">
        <w:rPr>
          <w:rtl w:val="0"/>
        </w:rPr>
        <w:t xml:space="preserve">ir 40 220 163 euro, ko veido Eiropas Reģionālās attīstības fonda (turpmāk - ERAF) finansējums –  34 187 138 euro un pašvaldību budžeta līdzfinansējums – 6 033 025 euro. ERAF atbalsts tiek piešķirts granta veidā. 4.2.1.5. pasākuma otrās projekta iesniegumu atlases kārtas ietvaros nav plānots elastības finansējums. 4.2.1.5.pasākuma elastības finansējums 15 315 851 euro apmērā, ko veido ERAF finansējums 13 018 473 euro un valsts budžeta līdzfinansējums 2 297 378 euro, ir paredzēts 4.2.1.5.pasākuma trešajā projekta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w:t>
      </w:r>
      <w:r w:rsidR="00000000" w:rsidRPr="00000000" w:rsidDel="00000000">
        <w:rPr>
          <w:b w:val="1"/>
          <w:rtl w:val="0"/>
        </w:rPr>
        <w:t xml:space="preserve">daļu </w:t>
      </w:r>
      <w:r w:rsidR="00000000" w:rsidRPr="00000000" w:rsidDel="00000000">
        <w:rPr>
          <w:rtl w:val="0"/>
        </w:rPr>
        <w:t xml:space="preserve">no 4.2.1.5. pasākuma otrās projekta iesniegumu atlases kārtas īstenošanai pieejamā finansējuma 1 333 764 euro, veido ERAF finansējums 1 133 699 euro, kas pārcelts no 4.2.1.3. pasākuma "Infrastruktūras un mācību vides pilnveide efektīvas, kvalitatīvas un mūsdienīgas izglītības īstenošanai speciālās izglītības iestādēs"(un pašvaldību līdzfinansējums 200 065 euro; finansējums tiek pārdalīts), tad tam jābūt tieši mērķētam iekļaujošas izglītības infrastruktūras izveidei vai uzlabošanai. Minētais finansējums tiks noteikts tām pašvaldībām, kas atbilst Ministru kabineta 1.pielikuma kritērijiem, un kuru administratīvajā teritorijā nav speciālās izglītības iestādes vai ir pieņemts lēmums par tās reorganizāciju (likvidāciju), paredzot speciālās izglītības programmu īstenošanu iekļaujošas izglītības principos balstītā pieejā, ka izglītojamie ar speciālām vajadzībām izglītību iegūst vispārizglītojošās izglītības iestādēs speciālās klasēs/grupās vai vispārizglītojošās klasēs.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w:t>
      </w:r>
      <w:r w:rsidR="00000000" w:rsidRPr="00000000" w:rsidDel="00000000">
        <w:rPr>
          <w:b w:val="1"/>
          <w:rtl w:val="0"/>
        </w:rPr>
        <w:t xml:space="preserve"> līdz 2028. gada 31. decembrim</w:t>
      </w:r>
      <w:r w:rsidR="00000000" w:rsidRPr="00000000" w:rsidDel="00000000">
        <w:rPr>
          <w:rtl w:val="0"/>
        </w:rPr>
        <w:t xml:space="preserve">, un sasniedzot šādu </w:t>
      </w:r>
      <w:r w:rsidR="00000000" w:rsidRPr="00000000" w:rsidDel="00000000">
        <w:rPr>
          <w:b w:val="1"/>
          <w:rtl w:val="0"/>
        </w:rPr>
        <w:t xml:space="preserve">nacionālo rādītāju</w:t>
      </w:r>
      <w:r w:rsidR="00000000" w:rsidRPr="00000000" w:rsidDel="00000000">
        <w:rPr>
          <w:rtl w:val="0"/>
        </w:rPr>
        <w:t xml:space="preserve">: izglītības iestādes, kurās modernizēta mācību vide, - ne mazāk kā 20. Rādītāja izpildi analizē projekta beigās, un tā izpildē tiks ņemts vērā akts par projekta ietvaros modernizētās izglītības iestādes (būves) pieņemšanu ekspluatācijā, kā arī informāciju par veiktajām iekārtu iegādes iepirkumu procedūrām. Finansējuma saņēmējs nodrošina datu uzkrāšanu un ziņošanu par rādītāju sasniegšanu Kohēzijas politikas fondu vadības informācijas sistēmā, iesniedzot maksājuma pieprasījumu, un nacionālo rādītāju vērtības sasniegšanas uzraudzību veic Centrālās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termiņš ir pamatots ar to, ka projekta iesniedzējs iesniedz vidējās gatavības projektus, kā arī atsevišķas izmaksas ir attiecināmas pirms projekta iesnieguma apstiprināšanas, ļaujot projekta iesniedzējam savlaicīgi uzsākt iepriekš paredzēto pašvaldības attīstības programmas investīciju plānā un pašvaldības attīstības programmā ieceru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atlase tiks īstenota ierobežotas projektu iesniegumu atlases veidā, pirms tam veicot</w:t>
      </w:r>
      <w:r w:rsidR="00000000" w:rsidRPr="00000000" w:rsidDel="00000000">
        <w:rPr>
          <w:b w:val="1"/>
          <w:rtl w:val="0"/>
        </w:rPr>
        <w:t xml:space="preserve"> projektu iesniedzēju priekšatlasi</w:t>
      </w:r>
      <w:r w:rsidR="00000000" w:rsidRPr="00000000" w:rsidDel="00000000">
        <w:rPr>
          <w:rtl w:val="0"/>
        </w:rPr>
        <w:t xml:space="preserve">. Priekšatlases rezultātā tiks noteiktas pašvaldības - projektu iesniedzēji un katrai pašvaldībai pieejamais finansējums. Priekšatlasē piedalās: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kuras dibinātās vispārējās izglītības iestādes ne vēlāk kā vienu mēnesi pēc noteikumu spēkā stāšanās atbilst šo noteikumu 1. pielikumā minētajiem kritērijiem, ievērojot šo noteikumu 2. pielikumā minētās pašvaldību iedalījuma grupas. Ja pašvaldības dibināta vispārējās izglītības iestāde neatbilst šo noteikumu 1. pielikuma 1. punktā minētajiem kritērijiem atbilstoši tā paša pielikuma 3. punktā minētajos gadījumos, tad pašvaldība sniedz pierādījumos balstītu apliecinājumu, ka vispārējās izglītības iestādes atbilstība tiks nodrošināta līdz 2027.gada 31.augustam. Tādējādi pašvaldība var apliecināt, ka ir analizējusi visu savā pārziņā esošo izglītības iestāžu darbību un līdz 2027.gada 31.augustam tās vispārējas izglītības iestāžu tīkls tiks sakārtots. Šāda pārejas perioda noteikšana ir paredzēta, lai atsevišķās pašvaldībās, kurām ir palicis pieņemt atsevišķus lēmumus par vispārējās izglītības iestāžu tīkla sakārtošanu, varētu to nodrošināt. Kritēriji izriet no informatīvā ziņojuma par kompleksiem risinājumiem augstvērtīgai izglītības nodrošināšanai, kurā tika izskaidrota (a) pašvaldību dibināto izglītības iestāžu tīkla efektivitāte (izmaksas, kapacitāte, cilvēkresursu nodrošinājums u.c.) pret sasniegtajiem rezultātiem, kā arī (b) piedāvāti vairāki risinājumi, lai uzlabotu pārvaldību un mērķtiecīgāk investētu sakārtotā un ilgtspējīgā izglītības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 Ņemot vērā, ka Rīgas valstspilsētas pašvaldībā vispārējās izglītības iestāžu skaits ir būtiski lielāks kā citās pašvaldībās, un tīkla sakārtošana (tā turpināšana) prasa laika un finanšu resursus, kā arī vispārējo pamata un vidējo izglītību Rīgas valstspilsētas pašvaldībā apgūst vairāk nekā 30% no Latvijas attiecīgajiem izglītojamiem, izņēmuma kārtā šī pašvaldība var pretendēt atbalsta saņemšanai, piesakoties priekšatlasē. Rīgas valstspilsētas pašvaldība projekta īstenošanā turpina vispārējo izglītības iestāžu tīkla sakārtošanu un projekta īstenošanas rezultātā nodrošina vismaz vienas vispārējās izglītības programmu īstenošanas vietas likvidēšanu.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priekšatlases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apzināt atbilstošas pašvaldības, kas ar 4.2.1.5. pasākuma otrās projekta iesniegumu atlases kārtas finansējumu ir paredzējušas modernizēt to vispārējo izglītības iestāžu mācību vidi, lai tādējādi aprēķinātu katrai atbilstošai pašvaldībai pieejamo ERAF finansējumu. Ņemot vērā, ka priekšatlases kritēriji ir definēti noteikumu projekta 1.pielikumā, pašvaldības var patstāvīgi izvērtēt savu atbilstību un pieņemt lēmumu par dalību projektu iesniedzēju priekšatlasē un turpmākajā projektu atlasē, ja tā atbilst izvirzītajiem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izvairīties no nepieciešamības veikt grozījumus noteikumu projektā pēc tā apstiprināšanas, ja tajā tiktu noteikts finansējuma sadalījums tikai tām pašvaldībām, kas atbilst noteiktajiem vispārējās izglītības iestāžu tīkla optimizācijas kritērijiem uz noteikumu projekta izstrādes brīdi. Ministru kabineta noteikumu precizēšana uzliek papildu administratīvo slogu vairākām saskaņošanā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iespēju kritērijiem atbilstošām pašvaldībām mērķtiecīgi plānot investīcijas. Priekšatlases ietvaros netiek prasīts pieteikt atbalstam konkrētas izglītības iestādes. Projekta iesniedzējs, iesniedzot projekta pieteikumu projektu atlasē (pēc viņa dalības apstiprināšanas ar Ministru kabineta rīkojumu), projekta pieteikumā izvirza atbalsta saņemšanai vienu vai vairākās izglītības iestādes.  Pieredze liecina, ka pašvaldību domju lēmumi par projektu iekļaušanu investīciju plānā tiek veikti vienlaicīgi ar pašvaldības domes lēmumu par projekta iesnieguma sagatavošanu un iesniegšanu īsi pirms projektu iesniegumu atlases termiņa beigām, iesniedzot projekta iesniegumu. Līdz ar to, šādas pārbaudes veikšana priekšatlases ietvaros var radīt situāciju, ka pašvaldība kā priekšatlases dalībnieks var tikt noraidīts. Pieeja arī tiek pamatota ar to, ka priekšatlases brīdī, pašvaldībai nav zināms tai pieejamais finansējums. Vienlaikus atbalsts ir daudzveidīgs un pašvaldība var pieņemt lēmumu par atbalstam izvirzāmām skolām tikai zinot finansējuma apmēru. Finansējuma apmērs ir atkarīgs no priekšatlasē pieteikto kritērijiem atbilstošo pašvaldību skaita (indikatīvi 15-25 pašvaldības), ņemot vērā pieteiktās kritērijiem atbilstošās pašvaldības izglītojamo skaitu. ERAF finansējuma aprēķina princips ir noteikts noteikumu projekta 14.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Priekšatlasi veic Izglītības un zinātnes ministrija. Tā pēc šo noteikumu spēkā stāšanās nosūta kārtību un termiņus par projektu iesniedzēju priekšatlasi, aicinot: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izņemot Rīgas valstpilsētas pašvaldību, informēt Izglītības un zinātnes ministriju par plānoto dalību projektu iesniegumu atlasē un pamatot tās atbilstību šo noteikumu 11.1. apakšpunktam, kā arī informēt par iekļaujošas izglītības infrastruktūras izveidi vai uzlabošanu vispārējās izglītības (vispārizglītojošā) iestādē. Attiecināms, ja pašvaldības administratīvajā teritorijā nedarbojas speciālās izglītības iestāde vai ir pieņemts lēmums par speciālās izglītības iestādes reorganizāciju (likvidāciju), paredzot speciālās izglītības programmu īstenošanu iekļaujošas izglītības principos balstītā pieejā, ka izglītojamie ar speciālām vajadzībām izglītību iegūst vispārizglītojošās izglītības iestādēs speciālās klasēs, grupās vai vispārizglītojošās 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pašvaldību informēt Izglītības un zinātnes ministriju par plānoto dalību projektu iesniegumu atlasē un informēt, ka projekta īstenošanas rezultātā nodrošinās vismaz vienas vispārējās izglītības programmu īstenošanas vietas likvidēšanu.  Savu ieceri tā pamato ar domes lēmumu. Līdz projekta īstenošanas beigām var būt 1) likvidēta atbalstam izvirzītās izglītības iestādes vispārējās izglītības programmas īstenošanas vieta vai 2) citas vispārējās izglītības iestādes šajā apkaimē, kurā tiek veiktas attiecīgas investīcijas, esošās programmas īstenošanas vietas likvidēšana. Iesniedzot pieteikumu projektu iesniegumu atlasē, Rīgas valstspilsētas pašvaldība paredz investīcijas vispārējās izglītības iestādes infrastruktūrā, vienlaikus pievienojot attiecīgo lēmumu par vispārējās izglītības iestādes izglītības programmas īstenošanas vietas likvidēšanu, kā arī pamato investīciju nepieciešamību, ņemot vērā projektu iesniegumu vērtēšanas kritērijus.  Projekta noslēguma pārskatā Rīgas valstspilsētas pašvaldība norāda informāciju par programmas īstenošanas vietu samazinājumu, atsaucoties uz informāciju Valsts izglītības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viena mēneša laikā pēc priekšatlases noslēgšanās iesniedz Ministru kabinetā Ministru kabineta rīkojuma projektu lēmuma pieņemšanai par priekšatlasē atlasītajām pašvaldībām un par katrai pašvaldībai plānoto maksimālo ERAF finansējumu. Ievērojot projektu iesniedzēju priekšatlases rezultātus, sākotnēji tiek </w:t>
      </w:r>
      <w:r w:rsidR="00000000" w:rsidRPr="00000000" w:rsidDel="00000000">
        <w:rPr>
          <w:b w:val="1"/>
          <w:rtl w:val="0"/>
        </w:rPr>
        <w:t xml:space="preserve">sadalīts </w:t>
      </w:r>
      <w:r w:rsidR="00000000" w:rsidRPr="00000000" w:rsidDel="00000000">
        <w:rPr>
          <w:rtl w:val="0"/>
        </w:rPr>
        <w:t xml:space="preserve">Eiropas Reģionālās attīstības fonda finansējums 33 053 439 euro apmērā. Pašvaldībai maksimāli plānotais ERAF finansējums tiek aprēķināts proporcionāli pašvaldības dibināto vispārējās izglītības iestāžu izglītojamo skaitam 1.–12. klašu grupā saskaņā ar Valsts izglītības informācijas sistēmā pieejamajiem datiem uz 2024. gada 1. septembri, neizmantojot personalizētos datus. ERAF finansējums Rīgas valstspilsētas pašvaldībai nepārsniedz 5 000 000 euro. Pēc tam, pašvaldībām, kas atbilst šo noteikumu 11.1. apakšpunktam, vienlaikus ievērot šo noteikumu 12.1.3. apakšpunktu, papildu sadala ERAF finansējuma atlikumu 1 133 699 euro apmērā. Atlikumu sadala vienādās daļās starp attiecīgajām pašvaldībām. Piešķiramais papildu ERAF finansējums nav mazāks kā 170 000 euro un nepārsniedz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mēneša laikā pēc Ministru kabineta lēmuma pieņemšanas nosūta Ministru kabineta lēmumā minētajām pašvaldībām uzaicinājumu sagatavot un iesniegt projekta iesniegumu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iesniedz vienu projekta iesniegumu, ja atbalstam nav izvirzīta  izglītības iestāde, kurā tiek veicināta iekļaujoša izglītība, ņemot vērā noteikumu 12.1.3. apakšpunktu. Ja projekta iesniedzējs atbalstam izvirza šādu izglītības iestādi, tad par šo izglītības iestādi var iesniegt atsevišķu projekta iesniegumu. Proti, nosacījumam atbilstošais projekta iesniedzējs var izvēlēties, vai 1) iesniegt vairākus projekta iesniegumus - vienā projekta iesniegumā novirzot atbalstu izglītības iestādei, kurā netiks veicināta iekļaujoša izglītībā, un atsevišķajā projekta iesniegumā izvirzot atbalstam izglītības iestādi, kurā tiks veicināta iekļaujošā izglītība, vai 2) vienā projekta iesniegumā pieprasīt atbalstu gan vispārējās izglītības iestādei, kurā tiek veicināta iekļaujošā izglītība, gan vispārējās izglītības iestādi, kurā netiks veicināta iekļaujošā izglītība. Vienā projekta iesniegumā iekļaujamo izglītības iestāžu skaits nav ierobežots. Kopējais vienas pašvaldības projektu plānotais ERAF finansējums nepārsniedz šo noteikumu 13. punktā minētajā Ministru kabineta rīkojumā pašvaldībai noteikto finansējuma apmēru, vienlaikus ievērojot, ka finansējums, kas ir papildu piešķirts pašvaldībai, atbalstam izvirzot izglītības iestādi, kurā tiks veicināta iekļaujošā izglītība, netiek izmantots šīs pašvaldības citu izglītības iestāžu atbalstam vai netiek izmantots citam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Viena projekta </w:t>
      </w:r>
      <w:r w:rsidR="00000000" w:rsidRPr="00000000" w:rsidDel="00000000">
        <w:rPr>
          <w:rtl w:val="0"/>
        </w:rPr>
        <w:t xml:space="preserve">iesnieguma minimālais kopējo attiecināmo izmaksu apmērs nav mazāks kā 200 000 euro (ieskaitot).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ietvaros tiek atbalstīti projekti, kas citā starpā atbilst šādiem </w:t>
      </w:r>
      <w:r w:rsidR="00000000" w:rsidRPr="00000000" w:rsidDel="00000000">
        <w:rPr>
          <w:b w:val="1"/>
          <w:rtl w:val="0"/>
        </w:rPr>
        <w:t xml:space="preserve">nosacījumiem</w:t>
      </w:r>
      <w:r w:rsidR="00000000" w:rsidRPr="00000000" w:rsidDel="00000000">
        <w:rPr>
          <w:rtl w:val="0"/>
        </w:rPr>
        <w:t xml:space="preserve">, tādējādi nodrošinot, ka investīcijas tiks veiktas vidējas gatavības projektos un stabilās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iesniegumā plānotās darbības atbilst projekta iesniedzēja pašvaldības attīstības programmas investīciju plānam un ir pamatotas pašvaldības attīstības programmā. Nosacījums nodrošina, ka projekta iesniedzējam ir ilgtermiņa stratēģija saistībā ar izglītības iestāžu infrastruktūras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iesniegumam ir vismaz šāda gatavības pakāpe: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ir uzsākta iepirkuma procedūra par vismaz vienas projekta būves projektēšanas darbiem vai ir uzsākta iepirkuma procedūra par apvienotu projektēšanu un būvdarbiem par vismaz vienu projekta būvi, un ir iesniegts iepērkamā aprīkojuma saraksts ar veiktu aprīkojuma iegādes izmaksu aprēķinu;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ir iesniegta būvvaldes izziņa, kas liecina, ka projekta būvdarbiem būvatļauja, paskaidrojuma raksts vai apliecinājuma karte nav nepieciešama (ja attiecināms), un ir iesniegts iepērkamā aprīkojuma saraksts ar veiktu aprīkojuma iegādes izmaksu aprēķinu;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ir izsludināta iepirkuma procedūra par projekta ietvaros iegādājamo aprīkojumu (ja projekta ietvaros nav paredzēta būvdarbu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kuras dibinātās vispārējās izglītības iestādes ne vēlāk kā vienu mēnesi pēc noteikumu spēkā stāšanās atbilst noteikumu projekta 1. pielikumā minētajiem kritērijiem, atbalstam izvirza vispārējās izglītības iestādi, kas atbilst šo noteikumu 1. pielikuma 1., 3., 4. un 5. punkta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Rīgas valstspilsētas pašvaldība atbalstam izvirza vispārējās izglītības iestādi, kas atbilst noteikumu projekta 1. pielikuma 1., 3., 4. un 5. punkta kritērijiem, un izglītības iestāžu tīkla optimizēšanas rezultātā atbalstam izvirzītajā vispārējās izglītības iestādē pēdējos trijos mācību gados ir nodrošināts vai paredzams izglītojamo skaita pieaugums, vienlaikus paredzot vismaz vienas atbalstam izvirzītās izglītības iestādes vispārējās izglītības programmu īstenošanas vietas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izvirzāmo</w:t>
      </w:r>
      <w:r w:rsidR="00000000" w:rsidRPr="00000000" w:rsidDel="00000000">
        <w:rPr>
          <w:b w:val="1"/>
          <w:rtl w:val="0"/>
        </w:rPr>
        <w:t xml:space="preserve"> izglītības iestāžu skaits nav ierobežots</w:t>
      </w:r>
      <w:r w:rsidR="00000000" w:rsidRPr="00000000" w:rsidDel="00000000">
        <w:rPr>
          <w:rtl w:val="0"/>
        </w:rPr>
        <w:t xml:space="preserve">. Projekta ietvaros projekta iesniedzējam ir iespēja realizēt savas ieceres, kas jau ir paredzētas pašvaldības attīstības programmas investīciju plānā un ir pamatotas pašvaldības attīstības programmā. Tādā veidā tiks nodrošināta investīciju pēctecība un ilgtspējība. Izglītības iestādes izvēli var pamatot ar to, ka tā tika optimizēta, ievērojot noteikumu projekta 1.pielikumā minētos kritērijus. Izglītību iestāžu vajadzību prioritātes netiks specifiski izvērtētas, jo projekta iesniedzējs, balstoties uz pieejamā finansējuma un projekta īstenošanas termiņu veiks investīcijas skolā, kas ir reorganizēta vai par reorganizāciju ir pieņemts lēmums, kā arī investīcijas ir pamatojamas ar pašvaldības attīstības programmas investīciju plānu un pašvaldības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atbalstāmās darbības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iestādes ēkas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iestādes dienesta viesnīcas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iestādes sporta infrastruktūras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dabaszinātņu (dabaszinības (1. -6. klasei), ķīmijas, bioloģijas, fizikas, dizains un tehnoloģijas, inženierzinības, ģeogrāfija) un matemātikas kabinetu (tai skaitā praktisko darbu telpu) pārbūve, atjaunošana, izveide vai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vides uzlabošana un mācību procesa nodrošināšanai paredzēta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komunikācijas tehnoloģiju risinājumu ieviešana un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teritorijas labiekārtošana, to starp izglītojamo drošības nodrošināšanai paredzēti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noteikumu projektā iekļautajām investīcijām piemēroti šādi </w:t>
      </w:r>
      <w:r w:rsidR="00000000" w:rsidRPr="00000000" w:rsidDel="00000000">
        <w:rPr>
          <w:b w:val="1"/>
          <w:rtl w:val="0"/>
        </w:rPr>
        <w:t xml:space="preserve">intervences kodi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veidu dimensija - 122 Pamatizglītības un vidējās izglītības infrastruktūra (ERAF finansējums 34 187 138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kods, kas attiecas uz atbalsta dimensijas veidu – 01,  dotācija (ERAF finansējums 34 187 138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kods, kas attiecas uz teritoriālā īstenošanas mehānisma un teritoriālā aspekta dimensiju – 33, bez teritoriālā mērķa (ERAF finansējums 34 187 138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kods, kas attiecas uz ESF+ sekundārajiem tematiem – 09, nepiemēro (ERAF finansējums 34 187 138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kods, kas attiecas uz dzimumu līdztiesības dimensiju – 03, dzimumu neitralitāte (ERAF finansējums 34 187 138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jaunas ēkas būvniecībai un pilna apjoma pārbūvei, kā arī  ēkas un telpu pārbūvei un atjaunošanai  plānotās izmaksas nodrošina mūsdienīgu mācību vidi, kas veicina izglītības kvalitāti. Jo īpaši svarīgi, ka mācību vide izglītības iestādē ir arī veselīga un droša, ievērojot, ka izglītojamie izglītības iestādē pavada proporcionāli lielāko dienas daļu. Piemēram, iekšējo inženiertīklu izbūve vai pārbūve tiks samērota ar klašu telpu izmēriem (tilpumu) un paredzamo audzēkņu skaitu, tādējādi nodrošinot pietiekama svaiga gaisa pieplūdi mācību telpām, nepārsniedzot CO2 koncentrāciju iekštelpās 1000 ppm, ja tiek veikta jaunās ēkas būvniecība un pilna apjoma pārbūve vai  ēkas un telpu pārbūve un atjaunošana. Īstenojot darbību ievēro Būvniecības likumā un Ministru kabineta 2021.gada 19.oktobra noteikumos Nr. 693 „Būvju vispārīgo prasību būvnormatīvs” noteiktās prasības par vides piekļūstamības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atbalstāma izglītības iestādes visu mācību telpu pārbūves un atjaunošanas izmaksas (šo noteikumus projekta 22.2. apakšpunkts). Lai veicinātu STEM (Science, Technology, Engineering and Mathematics – zinātne, tehnoloģijas, inženierzinātnes un matemātika, turpmāk - STEM) mācību priekšmetu pasniegšanas kvalitāti un apguves sniegumu, kā arī interesi par attiecīgajām zinātnēm, 4.2.1.5. pasākuma otrās projektu iesniegumu atlases kārtas ietvaros, specifiski definēts nosacījumus attiecībā uz  dabaszinātņu (dabaszinības (1. -6. klasei), ķīmijas, bioloģijas, fizikas, dizains un tehnoloģijas, inženierzinības, ģeogrāfija) un matemātikas kabinetu (tai skaitā praktisko darbu telpu) izveides vai pilnveides izmaksām, tai skaitā telpu pārbūves un atjaunošanas izmaksām, un šo kabinetu aprīkojuma un inventāra iegādes izmaksām, nosakot šīm izmaksām novirzīt vismaz 20 procentus no projekta kopējām attiecināmajām izmaksām. Plānojot minētās izmaksas, projekta iesniedzējs ņem vērā Valsts izglītības satura centra izstrādātās vadlīnijas par dabaszinātņu un matemātikas kabinetu nodrošinājumu, ja tās tiks izstrādātas. Atbalsta ietvaros var tikt iegādāts aprīkojums, kas nepieciešams vispārējās pamata un vidējās izglītības satura apguvei. Ieteicamā aprīkojuma saraksts (darba piederumi) ir pieejams Skola2030 tīmekļa vietnē publicētajos mācību programmu paraugos.  Vienlaikus prioritāri ir iegādājams STEM mācību priekšmetu aprīkojums un ergonomiskas mēbeles mācību telpas iekārtošanai. Attiecīgi uz matemātiku būtu attiecināma, piemēram, modeļu, individuālo rīku (specifisku lineālu, mērinstrumentu) iegāde, interaktīvā tāfele. Mācību kabinetu aprīkošana ar viedierīcēm un tehnoloģijām, kā arī datorikas kabinetu aprīkošana, ir attiecināma šo noteikumu 22.4. apakšpunkta ietvaros, un nav skaitāma pie izglītības iestādes mācību kabinetu aprīkojuma (noteikumu projekta 22.5. apakšpunkts). Noteikumu projektā dažādām darbībām ir noteikti izmaksu apmēra ierobežojumi, tomēr, lai nodrošinātu resursu koncentrāciju tieši STEM jomā, noteikumu projektā investīcijas STEM priekšmetu mācību telpās ir nošķirtas no pārējām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potenciālo projektu iesniedzēju (pašvaldību) vajadzības, tika konstatēts, ka dažas pašvaldības jau ir pilnīgi uzlabojušas visu izglītības iestāžu mācību vidi, izmantojot dažādus investīciju avotus, un nebūtu lietderīgi novirzīt ieguldījumus STEM jomā, kas ir prioritāra šī atbalsta ietvaros. Tāpēc ir paredzēts izņēmuma gadījums, kurš paredz, ka pašvaldība pamatotos gadījumos (iesniedz pamatojumu projektu iesniegumu atlases kārtas ietvaros) var paredzēt investīcijas tikai vispārējās izglītības iestādes dienesta viesnīcas būvniecībā, pārbūvē vai atjaunošanā un/vai  vispārējās izglītības iestādes sporta infrastruktūras pārbūvē vai atjaunošanā, tajā skaitā aprīkojuma un inventāra iegādei. Šādu projektu atbilstība tiks vērtēta, ievērojot projektu iesniegumu vērtēšanas kritērijus, kas tajā skaitā paredz, ka projektam jāatbilst atbalsta mērķim, kā arī noteikumu projekta 19.punktā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izmaksu ierobežojumi attiecas uz projektu kopumā, tas nozīmē, ja viena projekta iesniegumā atbalstam tiek izvirzītas vairākas izglītības iestādes vai vienai izglītības iestādei ir vairākas īstenošanas vietas, tad vienas izglītības iestādes izmaksu ierobežojuma neizpildi var kompensēt citā izglītības iestādē vai īstenošanas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(turpmāk - 2.3.2.3.i. investīcija) projekta ietvaros veiktās priekšizpētes rezultātus. Minētās investīcijas ietvaros uzsākta priekšizpēte tiks pabeigta 2025. gada aprīlī, aptverot informāciju par visām vispārējās izglītības iestādēm un veicot padziļinātu izpēti vismaz 50 no tām. Vienlaikus datortehnikas iegāde pedagogiem un atbalsta personālam nav attiecināma, jo šai mērķa grupai atbalsts tika nodrošināts 4.2.1.5. pasākuma pirmās kārtas ietvaros (Projekts nr. 4.2.1.5/1/24/I/001 "Izglītības iestāžu nodrošinājums pilnveidotā vispārējās izglītības satura kvalitatīvai ieviešanai", finansējuma saņēmējs ir Izglītības un zinātnes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ieguldījumus veic </w:t>
      </w:r>
      <w:r w:rsidR="00000000" w:rsidRPr="00000000" w:rsidDel="00000000">
        <w:rPr>
          <w:b w:val="1"/>
          <w:rtl w:val="0"/>
        </w:rPr>
        <w:t xml:space="preserve">savā īpašumā vai valdījumā esošā īpašumā</w:t>
      </w:r>
      <w:r w:rsidR="00000000" w:rsidRPr="00000000" w:rsidDel="00000000">
        <w:rPr>
          <w:rtl w:val="0"/>
        </w:rPr>
        <w:t xml:space="preserve">, uz kuru tiesības ir nostiprinātas zemesgrāmatā. Ja ieguldījumu veic valdījumā esošajā īpašumā, tad valdījumā ir valsts īpašums, un valdījuma tiesības ir noteiktas vismaz uz termiņu, kas nav mazāks par pieciem gadiem pēc noslēguma maksājuma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w:t>
      </w:r>
      <w:r w:rsidR="00000000" w:rsidRPr="00000000" w:rsidDel="00000000">
        <w:rPr>
          <w:b w:val="1"/>
          <w:rtl w:val="0"/>
        </w:rPr>
        <w:t xml:space="preserve">komunikācijas un vizuālās identitātes pasākumus</w:t>
      </w:r>
      <w:r w:rsidR="00000000" w:rsidRPr="00000000" w:rsidDel="00000000">
        <w:rPr>
          <w:rtl w:val="0"/>
        </w:rPr>
        <w:t xml:space="preserve">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2021.–2027.gada plānošanas periodā, kā arī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4.2.1.5. pasākuma otrās projektu iesniegumu atlases kārtas ietvaros ir atbalstāma vispārējās izglītības iestāžu vai saistītā infrastruktūras (dienesta viesnīca, internets, sporta laukums) būvniecība, pārbūve vai atjaunošana, noteikumu projektā kā projekta izdevumu pozīcija ir iekļauti neparedzētie izdevumi, kuru apmērs nepārsniedz piecus procentus no projekta kopējām attiecināmajām izmaksām. Šāds izdevumu apmērs noteikts pamatojoties uz līdzšinējo pieredzi līdzīga veida izglītības iestāžu infrastruktūras uzlabošanas investīciju programmās, kas kopumā ir bijis pietiekams iepriekš neparedzamu ar projektu īstenošanu saistītu gadījumu risināšanā. Līdzīgi kā Eiropas Savienības struktūrfondu un Kohēzijas fonda 2014. – 2020. gada plānošanas periodā, neparedzēto izmaksu faktiska izmantošana būs iespējama pēc to rašanās un izmantošanas pamatojuma izvērtējuma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ietvaros ir paredzēti gan tādi projekti, kuru kopējās izmaksas var būt zem 5 milj. euro (attiecīgi kuriem </w:t>
      </w:r>
      <w:r w:rsidR="00000000" w:rsidRPr="00000000" w:rsidDel="00000000">
        <w:rPr>
          <w:b w:val="1"/>
          <w:rtl w:val="0"/>
        </w:rPr>
        <w:t xml:space="preserve">pievienotās vērtības nodokļa izmaksas</w:t>
      </w:r>
      <w:r w:rsidR="00000000" w:rsidRPr="00000000" w:rsidDel="00000000">
        <w:rPr>
          <w:rtl w:val="0"/>
        </w:rPr>
        <w:t xml:space="preserve"> ir attiecināmas saskaņā ar regulas Nr. 2021/1060 64. panta 1. punkta “c” apakšpunkta “i” punktu), gan tādi projekti, kuru kopējās izmaksas var būt virs 5 milj. euro (attiecīgi kuriem pievienotās vērtības nodokļa izmaksas ir attiecināmas saskaņā ar regulas Nr. 2021/1060 64. panta 1. punkta “c” apakšpunkta “ii” punktu gadījumā, ja tās nav atgūstamas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citā starpā nodrošina noteikumu projekta 35. punktā minēto prasību izpildi, tajā skaitā pirms projekta īstenošanas, kā arī trīs gadus pēc projekta īstenošanas informē sadarbības iestādi par būves ikgadējo enerģijas patēriņu  (megavatstundas). Datus par enerģijas patēriņu pirms projekta nav jāsniedz, ja ir plānota jaunas mācību iestādes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w:t>
      </w:r>
      <w:r w:rsidR="00000000" w:rsidRPr="00000000" w:rsidDel="00000000">
        <w:rPr>
          <w:b w:val="1"/>
          <w:rtl w:val="0"/>
        </w:rPr>
        <w:t xml:space="preserve">izmaksas ir attiecināmas no</w:t>
      </w:r>
      <w:r w:rsidR="00000000" w:rsidRPr="00000000" w:rsidDel="00000000">
        <w:rPr>
          <w:rtl w:val="0"/>
        </w:rPr>
        <w:t xml:space="preserve"> š</w:t>
      </w:r>
      <w:r w:rsidR="00000000" w:rsidRPr="00000000" w:rsidDel="00000000">
        <w:rPr>
          <w:b w:val="1"/>
          <w:rtl w:val="0"/>
        </w:rPr>
        <w:t xml:space="preserve">o noteikumu spēkā stāšanās dienas, izņemot</w:t>
      </w:r>
      <w:r w:rsidR="00000000" w:rsidRPr="00000000" w:rsidDel="00000000">
        <w:rPr>
          <w:rtl w:val="0"/>
        </w:rPr>
        <w:t xml:space="preserve"> izmaksas, kas ir saistītas ar būvprojekta, būvdarbu ieceres dokumentācijas, būvprojekta minimālā sastāvā, paskaidrojuma raksta izstrādi vai aktualizāciju, neatkarīgu  būvekspertīžu  veikšanu   un  tehnisko   apsekošanu   (tajā skaitā  neatkarīgas būvprojekta ekspertīzes veikšanas izmaksas), kā arī energosertifikācijas, ekspertīzes un izpētes (piemēram, ģeodēziskās un ģeotehniskās  izpētes) izmaksas, ja to veikšana ir priekšnosacījums, lai izstrādātu būvprojektu, būvdarbu ieceres dokumentāciju vai būvprojektu minimālā sastāvā. Minētas izmaksas ir attiecināmas, ja tās veiktas, sākot ar 2023. gada 1. janvāri. Finansējuma saņēmējs šādas izmaksas sākotnēji sedz no pašvaldības budžeta līdzekļiem, un pēc vienošanās par projekta īstenošanu noslēgšanas ar sadarbības iestādi izdevumus pamatojošos dokumentus iesniedz ar starpposma maksājuma pieprasījumu. Izmaksas par darbībām, kuras tiek pabeigtas līdz projekta iesnieguma iesniegšanai sadarbības iestādē,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sedz no saviem līdzekļiem. Nosacījums paredz arī to, ka, ja noteikumu projekta 22. punktā minētie izmaksu ierobežojumi ir pārsniegti, tad par attiecīgo izmaksu apmēru tiek palielināta pašvaldības līdzfinansējuma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kas saskaņā ar šiem noteikumiem nav attiecināmas, ir finansējamas ārpus projekta, tostarp ar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personāla izmaksas netiek plānotas. Tās finansējuma saņēmējs sedz no pašvaldības budžeta līdzekļiem. Tas pamatots ar līdzīgu gadījumu pieredzi citās Izglītības un zinātnes ministrijas administrētās investīciju programmās, kur finansējuma saņēmēji ir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ievērojot Izglītības un zinātnes ministrijas pieredzi līdzīgu investīciju programmu ieviešanā, var pieņemt, ka 4.2.1.5. pasākuma otrās projektu iesniegumu atlases kārtas ietvaros īstenotajos projektos darbības un to apmēri katram finansējuma saņēmējam būs atšķirīgi - gan infrastruktūras, gan aprīkojuma ziņā. Līdz ar to, 4.2.1.5 pasākuma otrās projektu iesniegumu atlases kārtas ieviešanā netiek paredzēta vienkāršoto izmaksu piemērošana. Vienlaikus, ja projekta īstenošanas laikā stājas spēkā vienkāršoto izmaksu horizontālā metodika, kas ir obligāti piemērojama visiem Eiropas Savienības fondu 2021. –2027. gada plānošanas perioda projektiem vai atbildīgās iestādes izstrādāta un ar vadošo iestādi saskaņota vienkāršoto izmaksu metodika, kas piemērojama 4.2.1.5. pasākuma otrās projektu iesniegumu atlases kārtā, tā tiek piemērota 4.2.1.5. pasākuma otrās projektu iesniegumu atlases kārtas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sasniegto rezultātu </w:t>
      </w:r>
      <w:r w:rsidR="00000000" w:rsidRPr="00000000" w:rsidDel="00000000">
        <w:rPr>
          <w:b w:val="1"/>
          <w:rtl w:val="0"/>
        </w:rPr>
        <w:t xml:space="preserve">ilgtspēju </w:t>
      </w:r>
      <w:r w:rsidR="00000000" w:rsidRPr="00000000" w:rsidDel="00000000">
        <w:rPr>
          <w:rtl w:val="0"/>
        </w:rPr>
        <w:t xml:space="preserve">vismaz piecus gadus pēc noslēguma maksājuma veikšanas. Ilgtspēja ir noteikta attiecībā uz visu 4.2.1.5. pasākuma otro projektu iesniegumu atlases  kārtu kopumā, tomēr attiecībā uz datortehniku tiek ņemts vērā tās ekspluatācijas laiks saskaņā ar 2018. gada 13. februāra Ministru kabineta noteikumu Nr. 87 “Grāmatvedības uzskaites kārtība budžeta iestādēs” 2.pielikumā noteikto (katras atsevišķas datortehnikas vienības lietderīgās lietošanas laiks ir pieci gadi), t.i. nosakot ilgtspējas nodrošināšanas termiņu, tiek ņemts vērā datortehnikas lietošanas uzsākšanas laiks, pieņemot, ka tā tiek uzsākta īpašumtiesību iegūšanas dienā. Vienlaikus regulas Nr. 2021/1060 65.pants atrunā izmaiņu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Piecus gadus pēc noslēguma maksājuma veikšanas pašvaldība nodrošina atbalstu saņēmušās vispārējās izglītības iestādes atbilstību šo noteikumu 1. pielikuma 1., 3., 4., 5. punkta kritērijiem, ievērojot šo noteikumu 2. pielikumā minētās pašvaldību iedalījuma grupas, tajā skaitā pašvaldība var pieņemt jaunus domes lēmumus vai veikt grozījumus iepriekš pieņemtajos domes lēmumos attiecībā uz atbalstam izvirzīto izglītības iestādi. Proti, pašvaldība nevar pieņemt tādus domes lēmumus, kuru rezultātā atbalstam izvirzīta vispārējās izglītības iestādes vairāk neatbilst vismaz kādam no šo noteikumu 1. pielikumā minētajiem 1., 3., 4., 5. punkta kritērijiem, tādējādi pārkāpjot sākotnējo nosacījumu par izglītības iestādes izvirzīšanu atbalstam. Projekta vērtēšanas procesā nav būtiski, kuram tieši 1. pielikumā minētajam 1., 3., 4., 5. punkta kritērijam tika nodrošināta atbalstam izvirzītās izglītības iestādes atbilstība, tāpēc domes lēmums nevar mainīt atbilstības faktu, bet var mainīt atbilstību minēto kritēriju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Racionālai un efektīvai izglītībai atvēlēto finanšu un materiālu resursu izmantošanai, izglītības iestāžu optimizācijas ietvaros, 4.2.1.5. pasākuma otrās projektu iesniegumu atlases kārtas projektos modernizēto infrastruktūru līdztekus var izmantot arī tās īstenotām profesionālās ievirzes izglītības programmām (mākslā, kultūrā vai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 tiek finansēta no publiskiem finanšu līdzekļiem – valsts un pašvaldību budžeta, un tiek īstenota pirmsskolas un pamatizglītības (ieguve saskaņā ar Vispārējās izglītības likuma 32. panta pirmo daļu ir obligāta), kā arī vidējās izglītības pakāpē, tādējādi 4.2.1.5. pasākuma otrās projektu iesniegumu atlases kārtas ietvaros veiktās darbības kopumā ir uzskatāmas kā ar saimniecisko darbību nesaistītas, ievērojot Eiropas Komisijas paziņojumā par Līguma par Eiropas Savienības darbību 107. panta 1. punktā minēto valsts atbalsta jēdzienu 28.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attīstītajā infrastruktūrā </w:t>
      </w:r>
      <w:r w:rsidR="00000000" w:rsidRPr="00000000" w:rsidDel="00000000">
        <w:rPr>
          <w:b w:val="1"/>
          <w:rtl w:val="0"/>
        </w:rPr>
        <w:t xml:space="preserve">papildinošas saimnieciskās darbības</w:t>
      </w:r>
      <w:r w:rsidR="00000000" w:rsidRPr="00000000" w:rsidDel="00000000">
        <w:rPr>
          <w:rtl w:val="0"/>
        </w:rPr>
        <w:t xml:space="preserve">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sadarbības iestādei, tai skaitā jānodrošina projekta iesnieguma un ar projekta īstenošanu un darbībām projekta dzīves cikla laikā (10 gadi) saistīto dokumentu oriģinālu vai normatīvajos aktos par dokumentu izstrādāšanu un noformēšanu noteiktajā kārtībā apliecinātu to kopiju uzglabāšana visā projekta dzīves cikla laikā. Sadarbības iestāde papildinošas saimnieciskās darbības uzraudzību minētajos periodos projekta ietvaros uzlabotajā infrastruktūrā veic atbilstoši Izglītības un zinātnes ministrijas izstrādātam uzraudzības mehānismam (metodikai), kurš tiks izstrādāts līdz  projektu iesniegumu atlases izsludināšanai. Lai mazinātu administratīvo slogu papildinošas saimnieciskās darbības uzraudzībā, tiek ieviests papildinošās saimnieciskās darbības pašdeklarēšanās princips, t.i. paredzot, ka finansējuma saņēmējs visā projekta dzīves ciklā sagatavo ikgadējus pārskatus par papildinošās saimnieciskās darbības un papildpakalpojumu apjomu un nodrošina pārskatu un aprēķinus pamatojošo dokumentu pieejamību papildinošās saimnieciskās darbības un papildpakalpojumu uzraudzībai. Ja finansējuma saņēmējs konstatē, ka ir pārsniegts 20 procentu apjoms no infrastruktūras kopējās gada jaudas un/vai ka minētā infrastruktūra tiek izmantotas citai saimnieciskai darbībai, kas nav uzskatāma par papildinošu saimniecisku darbību, tas vienošanās par projekta īstenošanu noteiktajā termiņā iesniedz sadarbības iestādei ziņojumu par konstatēto nosacījumu pārkāpumu. Sadarbības iestādei ir tiesības finansējuma saņēmējam pieprasīt iesniegt papildinošās saimnieciskās darbības un papildpakalpojumu pārskatus projekta dzīves cikla laikā, tai skaitā gadījumos, kad saņemta informācija par papildinošās saimnieciskās darbības un papildpakalpojumu nosacījumu pārkāpumu no finansējuma saņēmēja, kompetentām iestādēm vai no trešajām personām.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sadarbības iestādei visu projekta ietvaros saņemto nelikumīgo komercdarbības atbalstu kopā ar procentiem. Projekta dzīves cikls ir ieguldījumu amortizācijas periods.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c) aktu zāles iznomāšana pašdarbības pulciņiem, lekciju un semināru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4.2.1.5. pasākuma otrās projekta iesniegumu atlases kārtas ietvaros modernizētajā infrastruktūrā var tikt nodrošināta papildpakalpojumu sniegšana. Papildpakalpojumi ir pakalpojumi (saimnieciska darbība) infrastruktūrā, ja pakalpojumus galvenokārt izmanto ar saimniecisku darbību nesaistītai pamatdarbībai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 pakalpojumu pamatā izmanto ierobežots lietotāju loks – tie, kas ir tieši saistīti ar konkrētās infrastruktūras darbību – piemēram, iestādes darbinieki, skolēni, utml. Attiecīgi par parastajiem papildpakalpojumiem uzskata, piemēram, kafejnīcas vai ēdnīcas darbību izglītības iestādes ēkās, ēdienu un dzērienu automāti, utml. Papildpakalpojumiem nav jāpiemēro iedalītās kapacitātes ierobežojumi, jo papildpakalpojumiem netiek patērēti tādi paši resursi (piemēram, materiāli, aprīkojums, darbaspēks un pamatkapitāls) kā ar saimniecisku darbību nesaistītai finansējuma saņēmēja pamatdarbībai.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investīcijas paredzētas izglītības infrastruktūrā, un to nākotnes ieguvumu novērtēšana, tostarp naudas izteiksmē, ir ierobežota. Arī finanšu ilgtspēja ir jāaplūko no valstij noteiktās funkcijas par pamatizglītības nodrošināšanas obligātumu.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iepriekš minētie apstākļi un grūtības, kas saistītas ar izglītības rezultātu novērtēšanu un mērīšanu, ir tas, kas, iespējams, ir visizteiktākais šķērslis izmaksu un ieguvumu analīzes izmantošanai izglītības jomā. Vienlaikus izmaksu un ieguvumu analīzi izmanto, tai skaitā, lai noteiktu labāko iespējamo alternatīvu, izmaksu un finanšu resursus, kas nepieciešami projekta īstenošanai, kas jau pastarpināti ir ņemts vērā, izstrādājot izglītības iestāžu tīkla optimizācijas konceptu un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viens no izmaksu un ieguvumu analīzes elementiem – risku analīze, tiks veikta projektu iesniegumu atlases ietvaros ar projektu iesniegumu vērtēšanas kritēriju (vienoto kritēriju) par projekta risku identificēšanu, novērtēšanu un risku mazinošo pasākumu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par projekta īstenošanu noslēgšanas sadarbības iestāde finansējuma saņēmējam var izmaksāt </w:t>
      </w:r>
      <w:r w:rsidR="00000000" w:rsidRPr="00000000" w:rsidDel="00000000">
        <w:rPr>
          <w:b w:val="1"/>
          <w:rtl w:val="0"/>
        </w:rPr>
        <w:t xml:space="preserve">avansu</w:t>
      </w:r>
      <w:r w:rsidR="00000000" w:rsidRPr="00000000" w:rsidDel="00000000">
        <w:rPr>
          <w:rtl w:val="0"/>
        </w:rPr>
        <w:t xml:space="preserve">, ievērojot, ka avansa un starpposma maksājumu kopsumma nepārsniedz 90 procentus no projektam piešķirtā ERAF finansējuma. Avansu sadarbības iestāde izsniedz, ja tai ir pieejami valsts budžeta līdzekļi, pamatojoties uz finansējuma saņēmēja rakstisku avansa pieprasījumu un izvērtējot plānotā avansa apmēru, tā pamatojumu un spēju to izlietot sešu mēnešu laikā saimnieciskā gada ietvaros. Avansa un starpposma maksājumu kopsummas apmērs – 90 procenti, noteikts kā optimāls variants, kas nepieciešams projektu īstenošanai, lai tiktu nodrošināta naudas plūsma projektā iekļauto darbību ieviešanai, ņemot vērā, ka projektu iesniedzēji ir pašvaldības, kurām ir ierobežotas budžeta iespējas Eiropas Savienības fondu projektu priekšfinansēšanai, kā arī ņemot vērā, ka nepieciešams veicināt investīciju nonākšanu tautsaimniecībā un nodrošināt Eiropas Komisijas noteiktā ikgadēji deklarējamo izdevumu minimālā sliekšņa (n+3) principa izpildi, ievērojot, ka kopumā būtiski kavējas Eiropas Savienības kohēzijas politikas programmas 2021.-2027. gadam specifisko atbalsta mērķu un pasākumu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finansējuma saņēmējs nosaka kārtību, kādā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īstenotajiem projektiem nevajadzētu nodarīt būtisku kaitējumu vides mērķiem Eiropas Parlamenta un Padomes 2020. gada 18.jūnija Regulas (ES) Nr. 2020/852 par regulējuma izveidi ilgtspējīgu ieguldījumu veicināšanai un ar ko groza Regulu (ES) 2019/2088 (Dokuments attiecas uz EEZ) 17. panta izpratnē, tas ir, finansējuma saņēmējs nodrošina, ka projekts atbilst principam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pasākums tiek īstenots </w:t>
      </w:r>
      <w:r w:rsidR="00000000" w:rsidRPr="00000000" w:rsidDel="00000000">
        <w:rPr>
          <w:b w:val="1"/>
          <w:rtl w:val="0"/>
        </w:rPr>
        <w:t xml:space="preserve">sinerģijā </w:t>
      </w:r>
      <w:r w:rsidR="00000000" w:rsidRPr="00000000" w:rsidDel="00000000">
        <w:rPr>
          <w:rtl w:val="0"/>
        </w:rPr>
        <w:t xml:space="preserve">ar: a) Atveseļošanas fonda 3.1.1.5. investīciju;  b) darbības programmas „Izaugsme un nodarbinātība” 13.1.2.2. pasākumu „Izglītības iestāžu digitalizācija” pasākumu „Izglītības iestāžu digitalizācija”; c) Atveseļošanās fonda 2.3.2.3. investīciju „Digitālās plaisas mazināšana sociāli neaizsargātajam grupām un izglītības iestādēs”; un d) Eiropas Savienības kohēzijas politikas programma 2021.–2027. gadam 4.2.1.5. pasākumu „Izglītības iestāžu nodrošinājums jaunā mācību satura kvalitatīvai ieviešanai” pirmo projektu iesniegumu atlases kārtu; e) valsts budžeta aizdevumiem, kurus nodrošina saskaņā ar Ministru kabineta 2024. gada 5. marta noteikumiem Nr. 159 “Kritēriji un kārtība, kādā tiek izvērtēti pašvaldību investīciju projektu pieteikumi valsts budžeta aizdevuma saņemšanai”. Attiecīgi pasākuma projektos, tostarp projektu iesniegumu atlasē, var tikt piemēroti ierobežojumi attiecībā uz portatīvās datortehnikas iegādi, vienlaikus akceptējot citu mācību procesam nepieciešama aprīkojuma iegādi. Savukārt būvdarbu ietvaros ir jāizveido vai jāuzlabo informāciju komunikāciju un tehnoloģiju risinājumi, īpaši attiecībā uz jaudīga un uzticama interneta pieslēguma un bezvadu interneta tīkla izveidi vai uzlabošanu, nodrošinot nepārklāšanos ar iepriekšminēto 2.3.2.3. investīciju.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Demarkācija </w:t>
      </w:r>
      <w:r w:rsidR="00000000" w:rsidRPr="00000000" w:rsidDel="00000000">
        <w:rPr>
          <w:rtl w:val="0"/>
        </w:rPr>
        <w:t xml:space="preserve">ar minēto pasākumu investīciju projektiem, un citiem investīciju projektiem, tostarp tādiem, kas tiek īstenoti ar valsts budžeta aizņēmumu, tiks nodrošināta projektu līmenī, pārbaudot Kohēzijas politikas fondu vadības informācijas sistēmā un ministrijas valsts budžeta aizņēmuma programmas ietvaros iesniegtos projektus, un pārliecinoties, ka vienas un tās pašas atbalstāmās darbības un attiecināmās izmaksas nav vai netiek plānota to finansēšana dubultā (tajā skaitā attiecībā uz pievienotās vērtības nodokļa (turpmāk - PVN) līdzekļu attiecināšanu vai atgūšanu projektiem, kuru kopējās izmaksas ir mazākas par 5 milj. euro (ieskaitot PVN)).  Lai novērstu dubultā finansējuma risku, finansējuma saņēmējs nodrošina finanšu plūsmas  uzskatāmu nodalīšanu (tai skaitā PVN izmaksu uzskaiti) no citām finansējuma saņēmēja darbības finanšu plūsmām projekta īstenošanas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virzīts apstiprināšanai Ministru kabinetā pēc tiesību akta projekta "Grozījumi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 (24-TA-2262) apstiprināšanas vai vienlaicīgi 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reorganizēto vispārējās izglītības iestāžu mācību vide, nodrošinot piemērotus apstākļus izglītojamo vajadzību nodrošināšanai, tajā skaitā  padarot to ergonomisku un pilnveidotajam mācību saturam atbilstošu.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pildīs atbildīgās iestādes funkcijas, savukārt pašvaldības pildīs finansējuma saņēmēju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projektu iesniegumu kārtas ietvaros plānoto atbalstāmo darbību ieviešana makroekonomisko vidi tieši neietekmē. Plānotās darbības ir vērstas uz vispārējās izglītības infrastruktūras uzlabojumiem, tajā skaitā veidojot ergonomisko vidi un veicinot kvalitatīvākā izglītības satura piekļūstamību, tādejādi netieši ietekmējot izglītojamo snieguma paaugstināšanos un šādu IAP2027 rezultatīvo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RR 2.2. Skolēni (15 gadu vecumā) ar augstiem mācību rezultātiem (pēc PISA ‒ 5. un 6. kompetences līmenis): lasīšanā, matemātikā, dabaszinātnēs - bāze (2018) 4,8 %, 8,5 %, 3,8 %, 2027.gada mērķis 6%, 9%, 5%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Skolēni (15 gadu vecumā) ar zemiem mācību rezultātiem (zemāk par PISA 2. kompetences līmeni): lasīšanā, matemātikā, dabaszinātnēs – bāze (2018) 22,4 %, 17,3 %, 18,5 %, 2027.gada mērķis 20%, 16%, 17%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netiešā veidā palīdz risināt pedagogu nepietiekamības problēmu, jo atsaucoties uz informatīvajā ziņojumā par kompleksiem risinājumiem augstvērtīgai izglītības nodrošināšanai minēto, atbalstoša darba vide un infrastruktūru ir viens no pedagogu labizjūtu ietekmējošiem faktoriem. Pedagogu profesionālajam sniegumam ir būtiska ietekme uz mācību rezultātu un izglītības sistēmas izvirzīto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investīcijas tiks veiktas pašvaldību izglītības iestādēs, kas ir sakārtojuši vispārējās izglītības iestāžu tīklu, kā arī izglītojamie varēs pilnvērtīgi un ar komfortu iesaistītes mācību procesā, izmantojot mūsdienu infrastruktūru un tehnoloģijas, tādējādi ceļos savu sniegumu, veicinot interesi par atsevišķajiem priekšmetiem.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4 444 328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12 649 241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11 281 756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2 734 971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4 444 328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12 649 241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11 281 756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2 734 971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5 228 622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14 881 460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13 272 654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3 217 613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4 444 328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12 649 241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11 281 756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2 734 971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2 232 219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1 990 898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-2 232 219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-1 990 898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-2 232 219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-1 990 898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-2 232 219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-1 990 898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-2 232 219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-1 990 898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4.2.1.5. pasākuma otrajai projektu iesniegumu atlases kārtai plānotais un pieejamais finansējums ir 40 220 163 euro, ko veido ERAF finansējums – 34 187 138 euro un pašvaldību budžeta līdzfinansējums – 6 033 025  euro. Budžeta ieņēmumi ir finansējuma ERAF daļa ir ne vairāk kā 85 procentu apmērā no projekta attiecināmām izmaksām. Budžeta izdevumi ir kopējie projekta ieviešanai nepieciešamie publiskā finansējuma (ERAF un pašvaldību budžeta)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2025.gada 1.ceturkšņa līdz 2028.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ERAF finansējuma.  Maksājuma pieprasījumu piešķirtā avansa maksājuma apmērā finansējuma saņēmējs iesniedz sadarbības iestādei pēc avansa maksājuma saņemšanas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5 228 622 euro gadā (t.sk. ERAF 4 444 328 euro, pašvaldību līdzfinansējums 784 294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14 881 460 euro gadā (t.sk. ERAF 12 649 241 euro, pašvaldību līdzfinansējums 2 232 219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tiek plānots finansējums  13 272 654 euro gadā (t.sk. ERAF 11 281 756 euro, pašvaldību līdzfinansējums 1 990 898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tiek plānots finansējums 3 217 613 euro gadā (t.sk. ERAF 2 734 971 euro, pašvaldību līdzfinansējums 482 642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tiek plānots finansējums 3 619 814 euro gadā (t.sk. ERAF 3 076 842 euro, pašvaldību līdzfinansējums 542 972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personāla izmaksas netiek plānotas. Tās finansējuma saņēmējs sedz  no pašvaldības budžeta līdzekļiem. Tas pamatots ar līdzīgu gadījumu pieredzi citās Izglītības un zinātnes ministrijas administrētās investīciju programmās, kur finansējuma saņēmējs ir pašvaldības.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4.2.1.5. pasākuma otrās projektu iesniegumu atlases kārtas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(ES, Euratom) Nr.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(ES, Euratom) Nr.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https://tapportals.mk.gov.lv/public_participation/f50c5545-e6fb-4067-b68d-5f4a3a28c3d2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apspriešanas ietvaros ir saņemti divi komentāri. Atbildot uz Latvijas lielo pilsētu apvienības priekšlikumu nenoteikt ierobežojumus izmaksām noteikumu projekta 22.2.4., 22.7., 22.8. apakšpunktos, skaidrojam, ka izmaksu ierobežojumi ir noteikti, balstoties uz līdzīgu investīciju nosacījumiem, kā arī tiek pamatoti ar nepieciešamību saglabāt investīciju kompleksumu un, vienlaikus, koncentrāciju uz vienu no pasākuma apakšmērķiem – veicināt STEM mācību priekšmetu pasniegšanas kvalitāti un paaugstināt izglītojamo sniegumu. Vienlaikus izmaksu ierobežojumi neierobežo finansējuma saņēmēju iespēju plānot attiecīgas izmaksas. Proti, noteikumu projekta 22. punktā minētie izmaksu ierobežojumi var būt pārsniegti, ja par attiecīgo izmaksu apmēru tiek palielināta pašvaldības līdzfinansējuma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sniegtais viedoklis ir pieņemts zināšanai bez papildu skaidrojuma, ņemot vērā, ka komentārā netika sniegts viedokļa pamatojums vai netika uzdots jautājums.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4.2.1.5. pasākuma otro projekta iesniegumu atlases kārtu tiks sekmēta viena no Nacionālā attīstības plāna mērķu izpildēm: sadarbībā ar iesaistītajām pusēm jāizveido kvalitatīvu izglītību nodrošinošs un efektīvs izglītības iestāžu tīkls ar atbilstošu mācību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otrajai projektu iesniegumu atlases kārtas kārtai ir netieša ietekme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kā finansējuma saņēmējām ir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pieņem, ka atsevišķu projektu ietvaros tiks ņemti vērā Eiropas Jaunā Bauhaus principi: estētika, ilgtspējība, iekļautība, tai skaitā, nodrošinot dabā balstītu risinājumu un universālā dizaina principu ievērošanu, lai veicinātu ilgtspējīgu un iekļaujošu publisko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īstenošanā ņems vērā arī izglītojamo ar speciālām vajadzībām vajadzības, t.i., gan izglītības iestādes fiziskā, gan mācību vide jāveido pēc iespējas iekļaujoša, radot priekšnosacījumus, ka bērns ar speciālām vajadzībām spēj pēc iespējas patstāvīgi iekļauties mācību apguves procesā, t.sk. ņemot vērā pašvaldības kā izglītības iestādes dibinātāja atbildību kvalitatīvas un piekļūstamas izglītības iestāžu mācību vides 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pasākumam ir ietekme uz personu ar invaliditāti vienlīdzīgām iespējām un tiesībām atbilstoši horizontālā principa “Vienlīdzība, iekļaušana, nediskriminācija un pamattiesību ievērošana” vadlīnijām 2021 – 2027. gadam (pieejamas: https://www.lm.gov.lv/lv/vadlinijas-horizontala-principa-vienlidziba-ieklausana-nediskriminacija-un-pamattiesibu-ieverosana-istenosanai-un-uzraudzibai-2021-2027),un var tikt īstenotas specifiskas un vispārīgas minētā horizontālā principa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projektēšanas laikā un pirms objekta nodošanas ekspluatācijā publiskajai infrastruktūrai tiks veikts vides un informācijas piekļūstamības pašnovērtējums, kur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papildus Būvju vispārīgo prasību būvnormatīvā LBN 200-21 noteiktajam (Ministru kabineta 2021. gada 19. oktobra noteikumi Nr. 693 "Būvju vispārīgo prasību būvnormatīvs LBN 200-21"),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projektu iesniegumu atlases kārtas ietvaros var būt īstenotas darbības,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iepirkumu nolikumus, kā arī nodrošinot pakalpojumus, tiks ņemtas vērā sieviešu un vīriešu vajadzības, situācija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iekštelpu gaisa piesārņojums, gan nelabvēlīgs mikroklimats, gan nepietiekams apgaismojums vai augumam neatbilstošas un neergonomiskas mēbeles var nelabvēlīgi ietekmēt bērnu attīstību un mācīšanās spējas. Veselības inspekcijas īstenotā pētījuma „Izglītības iestāžu vides kvalitātes un drošuma pētījums” dati liecina, ka izglītības iestāžu vides kvalitāte daļēji atbilst Pasaules Veselības organizācijas ieteiktajām normām, tostarp mācību telpās esošais ventilācijas veids vai īstenotais vēdināšanas režīms daļēji spēj uzturēt izglītojamo un pedagogu veselībai nekaitīgu un drošu iekštelpu gaisa kvalitāti. Pētījumā norāda, ka gaisa piesārņojumu avots var būt ne tikai telpās esošie cilvēki, bet arī mēbeles, celtniecības un apdares materiāli, piemēram, formaldehīds, kas var izdalīties no celtniecības materiāliem un mēbelēm. Projektu iesniedzēji investīciju plānošanai vai izmantot datus par gaisa kvalitāti vispārējās izglītības iestāžu mācību telpās (atrodams: https://co2.mesh.lv/home/dashboard ). Arī Rīgas Stradiņa universitātē veiktie pētījumi atsevišķās skolās liecina par ļoti sliktu situāciju gan attiecībā uz iekštelpu gaisa kvalitāti, gan apgaismojumu, trokšņa līmeņiem, kā arī virkni citu prasību. Līdz ar to var pieņemt, ka 4.2.1.5. pasākuma otrās projekta iesniegumu atlases kārtas projektiem būs tieša ietekme uz izglītojamo veselības un drošības apstākļu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modernizēta, ergonomiska mācību vide vismaz 20 pašvaldību vispārējās izglītības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otrajai projektu iesniegumu atlases kārtai ir netieši pozitīva ietekme uz horizontālā principa “Vienlīdzība, iekļaušana, nediskriminācija un pamattiesību ievērošana” ievērošanu. Noteikumu projektā paredzēts, ka finansējuma saņēmējs projekta īstenošanas laikā uzkrāj datus par projekta ietekmi uz noteiktiem horizontālā principa rādītājiem. Projektu iesniegumu atlasē tiks vērtēts (ir noteikts projektu iesniegumu vērtēšanas metodikā) vai projektu ietvaros paredzētas vispārīgas un specifiskas darbības, lai tādejādi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https://www.lm.gov.lv/lv/media/22182/download?attachment).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izglītības iestāžu fiziskā vide, informācijas un mācību vides piekļūstamība. Tādējādi telpu infrastruktūra un informācijas piekļūstamība sniegs ieguvumu gan izglītojamiem ar speciālām vajadzībām, gan iestāžu personālam (kas arī var būt personas ar invaliditāti), gan sabiedrībai kopumā.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24-TA-1846</w:t>
    </w:r>
    <w:r>
      <w:br/>
    </w:r>
    <w:r w:rsidR="00000000" w:rsidRPr="00000000" w:rsidDel="00000000">
      <w:rPr>
        <w:rtl w:val="0"/>
      </w:rPr>
      <w:t xml:space="preserve">Izdrukāts 29.07.2026. 23.02 - 6.0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24-TA-1846</w:t>
    </w:r>
    <w:r>
      <w:br/>
    </w:r>
    <w:r w:rsidR="00000000" w:rsidRPr="00000000" w:rsidDel="00000000">
      <w:rPr>
        <w:rtl w:val="0"/>
      </w:rPr>
      <w:t xml:space="preserve">Izdrukāts 29.07.2026. 23.02 - 6.0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anotācija_(ex_ante)_24-TA-1846.docx</dc:title>
</cp:coreProperties>
</file>

<file path=docProps/custom.xml><?xml version="1.0" encoding="utf-8"?>
<Properties xmlns="http://schemas.openxmlformats.org/officeDocument/2006/custom-properties" xmlns:vt="http://schemas.openxmlformats.org/officeDocument/2006/docPropsVTypes"/>
</file>