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27. jūnija rīkojumā Nr. 405 "Par 2.1.2.1.i. investīcijas projekta "Cilvēkresursu vienotās pārvaldības sistēmas ieviešana" pases un koplietošanas pakalpojuma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2023. gada 27. jūnija rīkojumā Nr. 405 "Par 2.1.2.1.i. investīcijas projekta "Cilvēkresursu vienotās pārvaldības sistēmas ieviešana" pases un koplietošanas pakalpojuma attīstības plāna apstiprināšanu" (turpmāk - Rīkojuma projekts) ir izstrādāti ievērojot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nosacījumus un to 4. pielikuma 4. sadaļā Valsts pārvaldes resursu pārvaldības programma, iekļauto nolūku "Cilvēkresursu vienotās pārvaldības sistēmas ieviešana", lai nodrošinātu tiesiskās noteiktības principu un normatīvo aktu savstarpējo konsekvenci. Šobrīd Rīkojuma projektā noteiktie termiņi ir zaudējuši aktualitāti, radot pretrunu starp projekta plānošanas dokumentiem un faktisko projekta ieviešanas gaitu. Grozījumi nepieciešami, lai salāgotu Rīkojuma projektā noteikto ar projekta aktualizēto ieviešanas plānu un noslēgtajiem iepirkuma līgumiem, tādējādi novēršot neatbilstības starp rīkojuma pasē deklarētajiem un faktiski saistošajiem līgumiskajiem termiņiem un sasniedzamajiem rezultatīvajiem rādītājiem.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grozījumus Rīkojuma projektā, lai nodrošināti konsekvenci starp normatīvajiem aktiem un projekta plānošanas dokumentiem, precizējot līdz 2026. gada 31. maijam sasniedzamos rādītājus. Grozījumi salāgo rīkojumu ar aktuālo ieviešanas plānu un iepirkuma līgumiem, novēršot pretrunas ar faktiski nodibinātajām saistībām. Vienlaikus, pamatojoties uz MK noteikumu Nr. 435 33.</w:t>
      </w:r>
      <w:r w:rsidR="00000000" w:rsidRPr="00000000" w:rsidDel="00000000">
        <w:rPr>
          <w:vertAlign w:val="superscript"/>
          <w:rtl w:val="0"/>
        </w:rPr>
        <w:t xml:space="preserve">1</w:t>
      </w:r>
      <w:r w:rsidR="00000000" w:rsidRPr="00000000" w:rsidDel="00000000">
        <w:rPr>
          <w:rtl w:val="0"/>
        </w:rPr>
        <w:t xml:space="preserve"> apakšpunktu, tiek noteikts izņēmums no šo noteikumu 33.2. apakšpunktā minētā personāla atlīdzības ierobežojuma.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Eiropas Savienības Atveseļošanas un noturības mehānisma plāna investīcijas 2.1.2.1.i. “Pārvaldes centralizētās platformas un sistēmas” projekta Nr. 2.1.2.1.i.0/1/23/I/VARAM/007 "Cilvēkresursu vienotās pārvaldības sistēmas ieviešana" (turpmāk - Projekts) ietvaros ievieš Cilvēkresursu vienotās pārvaldības sistēmu (turpmāk - Sistēma). Paredzams, ka līdz 2026. gada 31. maijam Sistēmu izmantos vismaz 15% no valsts tiešajā pārvaldē nodarbinātajiem.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Rīkojuma projekta 1. pielikumā "2.1.2.1.i. investīcijas projekta "Cilvēkresursu vienotās pārvaldības sistēmas ieviešana" pase" (turpmāk – Rīkojuma projekta 1. pielikums) konstatēta savstarpēja neatbilstība starp tajā ietvertajiem rādītājiem. Rīkojuma projekta 1. pielikuma 3.3.1. punktā noteikts, ka projekta ietvaros jāsasniedz 15% tiešās valsts pārvaldes nodarbināto aptvere, kuri izmanto Sistēmu, savukārt 5.1. punktā norādītais lietotāju skaits (līdz 60 000 darbinieku) raksturo kopējo potenciālo mērķauditoriju, nevis konkrēto projekta sasniedzamo rādītāju.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veikti precizējumi Rīkojuma projekta 1. pielikuma 5.1. punktā, salāgojot tajā norādīto vērtību ar 3.3.1. punktā definēto mērķi. Vienlaikus 5.1. punkts papildināts ar skaidrojošu zemsvītras atsauci par rādītāja indikatīvo raksturu. Veiktie grozījumi salāgo Rīkojuma projektā noteikto ar Latvijas Atveseļošanas un noturības mehānisma plānā pārņemtajām saistībām, novēršot interpretācijas riskus attiecībā uz sasniedzamo rezultātu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precizējumi ir veikti arī rīkojuma 2. pielikuma "Koplietošanas pakalpojuma "Cilvēkresursu vienotās pārvaldības sistēma" attīstības plāns" (turpmāk – 2. pielikums) 4. punktā. Sadaļa papildināta ar skaidrojumu par rādītāja indikatīvo raksturu, kura absolūtā vērtība ir atkarīga no valsts pārvaldes optimizācijas un reorganizācijas procesiem. Grozījumi nodala stratēģisko mērķi (100% mērķauditorijas aptvere) no Projektā sasniedzamā rezultāta (15% aptvere līdz 2026. gada 31. maijam), mazinot interpretācijas riskus mainīgas nodarbināto dinamikas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Rīkojuma projekta 1. pielikuma 5.1., 5.2. un 5.3. apakšpunktā noteiktais mērķu izpildes termiņš (2026. gada pirmais ceturksnis) neatbilst faktiskajam projekta īstenošanas laika grafikam un nodibinātajām līgumiskajām saistībām. Minētā neatbilstība rada tiesisko kolīziju starp plānošanas dokumentu un reālo projekta ieviešanas gaitu, jo rādītāju sasniegšana ir kalendāri piesaistīta 2026. gada maijam. Tādējādi rīkojumā ietvertā laika rāmja neprecizitāte var radīt pretrunas Projekta saistību izpildes kontrolē.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labots sasniedzamo mērķu ieviešanas termiņš uz 2026. gada otro ceturksni. Šādi termiņi nav pretrunā ar starp Valsts kanceleju un Viedās administrācijas un reģionālās attīstības ministriju noslēgto Vienošanos, kas paredz, ka Projekta īstenošanas termiņš ir līdz 2026. gada 31. maijam. Vienlaikus Rīkojuma projekta 1. pielikuma 5.3. punkts papildināts ar skaidrojošu zemsvītras atsauci, precizējot, ka lai gan Sistēmas tehniskā funkcionalitāte nodrošina pilnvērtīgu datu apstrādes un izvades kapacitāti 2026. gada otrajā ceturksnī, jāņem vērā, ka kvalitatīva un reprezentatīva datu analītika par centralizēti pārvaldāmām nozares būtiskām datu kopām būs pieejama pēc datu akumulācijas perioda noslēgšanās (piemēram, ceturkšņa vai gada).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iepirkuma procedūras rezultātā, kurā iegādāts lētāks produkts nekā sākotnēji plānots, Projekta noslēgumā potenciāli var veidoties finanšu līdzekļu ietaupījums, salīdzinot ar sākotnēji plānotajām tāmēm. Tāpat, ievērojot to, ka vairākās pozīcijās noslēgtas līgumsaistības ar mainīgu izpildes apjomu (stundu likmēm), pastāv objektīva nenoteiktība attiecībā uz kopējo attaisnoto izmaksu gala summu 2026. gada 31. maijā. Minēto faktoru ietekmē (samazinoties projekta kopējo izmaksu bāzei) var izveidoties risks, ka personāla atlīdzības proporcionālais īpatsvars uz 2026. gada 31. maijā varētu pārsniegt 20%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konstatēto risku, Rīkojuma projekts ir papildināts ar 6. punktu, paredzot piemērot Ministru kabineta noteikumu Nr. 435 33.</w:t>
      </w:r>
      <w:r w:rsidR="00000000" w:rsidRPr="00000000" w:rsidDel="00000000">
        <w:rPr>
          <w:vertAlign w:val="superscript"/>
          <w:rtl w:val="0"/>
        </w:rPr>
        <w:t xml:space="preserve">1</w:t>
      </w:r>
      <w:r w:rsidR="00000000" w:rsidRPr="00000000" w:rsidDel="00000000">
        <w:rPr>
          <w:rtl w:val="0"/>
        </w:rPr>
        <w:t xml:space="preserve"> apakšpunktā noteikto izņēmumu. Šis regulējums pilnvaro pamatotos gadījumos, neievērot minēto noteikumu 33.2. apakšpunktā noteikto personāla atlīdzības maksimālo procentuālo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ietvertais risinājums paredz saglabāt līdzšinējo projekta vadības un īstenošanas personāla atlīdzības kopsummu 336 000,00 EUR apmērā, tādējādi nemainot uzņemto saistību apjomu pēc būtības. Lai gan pašreizējās prognozes līdz 2026. gada 31. maijam neliecina par 20% robežas pārsniegšanu, rīkojuma 6. punkts ir iekļauts kā preventīvs kontroles mehānisms. Tas nepieciešams, lai izvairītos no neattiecināmajām izmaksām gadījumā, ja faktisko izmaksu ietaupījums citās pozīcijās izraisītu proporcionālu atlīdzības īpatsvara pieaugumu attiecībā pret kopējo attaisnoto izmaksu bāzi.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un 2. pielikumā konstatētas vairākas tehniskas un redakcionālas neatbilstības attiecībā uz projekta aktivitāšu detalizāciju, kas pilnībā neatspoguļo projekta faktisko īstenošanas gaitu. Ievērojot, ka minētās nepilnības nemaina projekta stratēģisko tvērumu, mērķus vai finansējuma apjomu, ir nepieciešams veikt precizējumus Rīkojuma projekta 1. un 2. pielikumā. Tas nepieciešams, lai nodrošinātu aktuālās situācijas precīzu atspoguļojumu, novēršot interpretācijas riskus attiecībā uz projekta aktivitāšu faktisko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veikt tehniskus precizējumus Rīkojuma projekta 2. pielikuma 3. sadaļā, definējot sistēmas pieejamības parametrus 99,0% apmērā kalendārā gada ietvaros informācijas sistēmas paredzētajā darbības laikā (8:00 – 18:00), tādējādi salāgojot Sistēmas pieejamības parametrus ar Tehniskajā specifikācijā izvirzītajām Sistēmas pieejamības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2. pielikuma 6. sadaļa ir veikti tehniski precizējumi ar norādi uz nepieciešamību izveidot specifisku normatīvo ietvaru Sistēmas darbībai. Tiesiskās bāzes sakārtošana paredz grozījumu izstrādi Valsts civildienesta likumā, iepriekš plānoto grozījumu Valsts pārvaldes iekārtas likuma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veikti tehniski grozījumi Rīkojuma projekta 1. pielikuma 6. sadaļā, aktualizējot projekta auditēšanas modeli. Grozījumi paredz, ka projekta revīzijas funkciju veiks iekšējais audits, aizstājot iepriekš plānoto ārējā audita pakalpojuma piesaisti.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neietekmē valsts budžeta ieņēmumus un izdevumus, jo paredzētie grozījumi ir tehniska rakstura un nemaina projekta īstenošanai paredzētā finansējuma kopapjomu.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pasākumi nav plānoti, ņemot vērā, ka Rīkojuma projekta grozījumu tehnisko raksturu, jo tie būtiski nemaina esošo regulējumu, kā arī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Paplašinās Valsts kancelejas funkcijas ar grozījumiem Civildienesta likumā. Papildus tiks administrēta Cilvēkresursu vienotās pārvaldības sistēma.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valsts pārvaldes koplietošanas pakalpojumu – cilvēkresursu vadības risinājuma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centralizēta valsts pārvaldes platforma, kas nodrošinās cilvēkresursu vadības procesu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26-TA-635</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26-TA-635</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anotācija_(ex_ante)_26-TA-635.docx</dc:title>
</cp:coreProperties>
</file>

<file path=docProps/custom.xml><?xml version="1.0" encoding="utf-8"?>
<Properties xmlns="http://schemas.openxmlformats.org/officeDocument/2006/custom-properties" xmlns:vt="http://schemas.openxmlformats.org/officeDocument/2006/docPropsVTypes"/>
</file>