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10.00.00 "Noziedzīgi iegūtu līdzekļu legalizācijas un terorisma finansēšanas novēršana""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10.00.00 "Noziedzīgi iegūtu līdzekļu legalizācijas un terorisma finansēšanas novēršana"" (turpmāk – rīkojuma projekts) sagatavots, pamatojoties uz Ministru kabineta 2024. gada 30. aprīļa sēdes protokollēmuma Nr. 18 55. § "Plāna projekts "Par Pasākumu plānu noziedzīgi iegūtu līdzekļu legalizācijas, terorisma un proliferācijas finansēšanas novēršanai 2024.–2026. gadam"" 4. punktu, kas nosaka, ka Pasākumu plāna noziedzīgi iegūtu līdzekļu legalizācijas, terorisma un proliferācijas finansēšanas novēršanai 2024.–2026. gadam (turpmāk – NILLTPFN plāns) īstenošanai nepieciešamo finansējumu ministrijām (resoriem) jānodrošina normatīvajos aktos noteiktā kārtībā sagatavojot un iesniedzot izskatīšanai Ministru kabinetā rīkojuma projektu līdzekļu pārdalei uz ministrijas (resora) budžetu.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papildu finansējumu Valsts ieņēmumu dienestam (turpmāk – VID) NILLTPFN plānā paredzēto pasākumu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NILLTPFN plānā VID atbildībā ir noteikti vairāki pasākumi, kurus īstenošanai VID budžetā ir nepieciešams papildu finansējums.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cīņu ar noziedzīgi iegūtu līdzekļu legalizēšanu un mazinātu noziedzīgi iegūtas skaidras naudas pārvietošanu pāri Latvijas Republikas un visas Eiropas Savienības ārējai robežai, likumā "Par skaidras naudas deklarēšanu uz valsts robežas" ir noteiktas prasības deklarēt skaidru naudu, ja tās apmērs ir 10 000 </w:t>
      </w:r>
      <w:r w:rsidR="00000000" w:rsidRPr="00000000" w:rsidDel="00000000">
        <w:rPr>
          <w:i w:val="1"/>
          <w:rtl w:val="0"/>
        </w:rPr>
        <w:t xml:space="preserve">euro</w:t>
      </w:r>
      <w:r w:rsidR="00000000" w:rsidRPr="00000000" w:rsidDel="00000000">
        <w:rPr>
          <w:rtl w:val="0"/>
        </w:rPr>
        <w:t xml:space="preserve"> un vairāk (pārrēķinot jebkurā valūtā).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23. oktobra Regula (ES) 2018/1672 par Savienības teritorijā ievestās skaidras naudas vai no tās izvestās skaidras naudas kontroli un par Regulas (EK) Nr. 1889/2005 atcelšanu (turpmāk – regula Nr. 2018/1672) Eiropas Savienības dalībvalstīs piemērojama ar 2021. gada 3. jūniju. Ar šo regulu izveido kontroles sistēmu skaidrai naudai, ko ieved Savienībā vai izved no tās, lai papildinātu tiesisko regulējumu nelikumīgi iegūtu līdzekļu legalizācijas un terorisma finansēšanas novēršanai, kas bija noteikts Eiropas Parlamenta un Padomes Direktīvā (ES) 2015/849 (2015. gada 20. maijs) par to, lai nepieļautu finanšu sistēmas izmantošanu nelikumīgi iegūtu līdzekļu legalizēšanai vai teroristu finansēšanai, un ar ko groza Eiropas Parlamenta un Padomes Regulu (ES) Nr. 684/2012 un atceļ Eiropas Parlamenta un Padomes Direktīvu 2005/60/EK un Komisijas Direktīvu 2006/70/EK. Lai atbilstoši regulai Nr. 2018/1672 kompetentās iestādes vienveidīgi īstenotu skaidras naudas kontroli visās Eiropas Savienības dalībvalstīs, Eiropas Komisija, pieņemot īstenošanas Regulu (ES) 2021/776 (2021. gada 11. maijs), ar ko nosaka paraugus konkrētām veidlapām, kā arī tehniskos noteikumus efektīvai informācijas apmaiņai saskaņā ar Eiropas Parlamenta un Padomes Regulu (ES) 2018/1672 par Savienības teritorijā ievestās skaidras naudas vai no tās izvestās skaidras naudas kontroli, noteica skaidras naudas deklarācijas veidlapu un informācijas par nepavadītu skaidru naudu atklāšanas veidlapu paraugus.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2018/1672 10. panta 3. punktu, jebkuras minētās informācijas apmaiņai starp kompetentajām iestādēm, t.sk. finanšu izlūkošanas dienestiem, ir jāizmanto Eiropas Biroja krāpšanas apkarošanai (OLAF) vadītas sistēmas Krāpšanas apkarošanas informācijas sistēmu (Anti-Fraud Information System – AFIS) Muitas informācijas sistēmas (Customs Information System – CIS) datu bāze. Lai nodrošinātu minēto deklarāciju reģistrēšanu un sasaisti ar OLAF AFIS CIS informācijas sistēmu, ir veiktas izmaiņas VID elektroniskajā muitas datu apstrādes sistēmā (EMDAS).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skaidras naudas deklarācijas veidlapas un informācijas par nepavadītu skaidru naudu atklāšanas veidlapas ir iespējams aizpildīt rakstveidā un iesniegt (uzrādīt) kompetentās iestādes pārstāvim robežšķērsošanas vietās. Lai mazinātu papīra dokumentu apriti un VID administratīvo slogu veidlapās sniegto informāciju pārvadot informācijas sistēmās, paredzēts izveidot iespēju skaidras naudas deklarācijas iesniegt elektroniski VID elektroniskās deklarēšanas sistēmā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jaunu funkcionalitāti VID informācijas sistēmās elektroniskai skaidras naudas deklarāciju un informācijas atklāšanas veidlapu iesniegšanai. Informācijas sistēmu pielāgošanas provizoriskās izmaksas aplēstas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Noziedzīgi iegūtu līdzekļu legalizācijas un terorisma un proliferācijas finansēšanas novēršanas likumā (turpmāk - NILLTPFN likums) noteiktajam Finanšu izlūkošanas dienestā (turpmāk - FID) ir izveidota informācijas sistēma ziņojumu par aizdomīgiem darījumiem un sliekšņa deklarāciju iesniegšanai (turpmāk - ziņošanas sistēma goAML). Informāciju (ziņojumus un deklarācijas) ziņošanas sistēmā goAML sniedz NILLTPFN likuma subjekti. Savukārt, atbilstoši Ministru kabineta 2021. gada 17. augusta noteikumos Nr. 550 "Noteikumi par aizdomīgu darījumu ziņojumu un sliekšņa deklarācijas iesniegšanas kārtību un saturu" noteiktajam FID nodrošina ziņošanas sistēmā goAML saņemtās un ar nodokļu jomu saistītās informācijas nodošanu VID neizmainītā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Ziņošanas sistēma goAML ir Apvienoto Nāciju Organizācijas Narkotiku un noziedzības novēršanas biroja (turpmāk - UNODC) izstrādāts un pilnībā integrēts programmatūras risinājums, kas paredzēts tieši finanšu izlūkošanas dienestu darbam. Ziņošanas sistēma goAML tiek regulāri pilnveidota atbilstoši jaunākajām tendencēm un pieredzei, kas iegūta no dažādiem lietotājiem vairāk nekā 60 valstīs. 2023. gadā FID veica izmaiņas ziņošanas sistēmā goAML, mainot XML shēmu struktūru atbilstoši UNODC izstrādātajai 5.2. versijai. Lai VID varētu saņemt un apstrādāt ziņojumus par aizdomīgiem darījumiem nodokļu jomā un sliekšņu deklarācijas no ziņošanas sistāmas goAML, tika veikas izmaiņas VID datu noliktavas informācijas sistēmā (DNS), kā arī tika pielāgoti analīzes un monitoringa risinājumi. Ar Ministru kabineta 14.09.2023. rīkojumu Nr. 583 "Par apropriācijas pārdali" VID tika piešķirts papildu finansējums 85 293 </w:t>
      </w:r>
      <w:r w:rsidR="00000000" w:rsidRPr="00000000" w:rsidDel="00000000">
        <w:rPr>
          <w:i w:val="1"/>
          <w:rtl w:val="0"/>
        </w:rPr>
        <w:t xml:space="preserve">euro</w:t>
      </w:r>
      <w:r w:rsidR="00000000" w:rsidRPr="00000000" w:rsidDel="00000000">
        <w:rPr>
          <w:rtl w:val="0"/>
        </w:rPr>
        <w:t xml:space="preserve"> izmaiņu veikšanai informācijas sistēmās. Saskaņā ar FID sniegto informāciju nākamās XML shēmas struktūras izmaiņas gaidāmas 2025.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ziņošanas sistēmas goAML ietvaros VID varētu saņemt un apstrādāt ziņojumus, nepieciešams veikt VID informācijas sistēmās izstrādāto risinājumu uzturēšanu un pilnveidošanu. Uzturēšanas izdevumu apmērs tiek prognozēts 7% apmērā no sistēmas izstrādes\ pilnveidošanas izmaksām ik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Nodokļu un muitas policijas pārvaldes (turpmāk - VID NMPP) viens no uzdevumiem ir nodrošināt operatīvās darbības un izmeklēšanas veikšanu noziedzīgu nodarījumu atklāšanā un novēršanā valsts ieņēmumu un muitas lietu jomā. VID NMPP Specializēto uzdevumu daļa sniedz tehnisko atbalstu operatīvo pasākumu un speciālo izmeklēšanas darbību nodrošināšanai, kā arī procesuālo darbību veikšanai noziedzīgu nodarījumu atklāšanā finanšu un ekonomisko noziegumu jomā. Lai stiprinātu un paplašinātu funkciju izpildi, nepieciešams iegādāties speciālo tehniku, kuru izmantojot būtu iespējams veicināt operatīvo pasākumu un speciālo izmeklēšanas darbību efektivitāti un kvalitāti. Palielinot pieejamo tehnisko iekārtu (līdzekļu) klāstu, proporcionāli palielināsies iespējas sekmīgi un neapdraudot konspirācijas prasības sniegt tehnisko atbalstu un veikt operatīvos pasākumus vai nodrošināt speciālo izmeklēšanas darbību realizēšanu.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Operatīvo pasākumu un speciālo izmeklēšanas darbību realizācijas ietvaros arvien biežāk tiek konstatēti gadījumi, kad konkrēto uzdevumu izpilde nav iespējama (būtiski apgrūtināta) bez speciālās tehnikas izmantošanas. Tehnoloģiju attīstības sniegtās iespējas aktīvi un kvalitatīvi izmanto arī tās personas, kuras veic noziedzīgus nodarījumus, īpaši noziedzīgu nodarījumu (subjektu) apslēpšanas kontekstā. Likumsakarīgi, operatīvas darbības subjekta rīcībā ir jābūt tādam aprīkojumam, kuru varētu “pretstatīt” tiem tehniskajiem līdzekļiem, kas tiek izmantoti prettiesisku mērķu sasniegšanai. Ņemot vērā, ka laika gaitā operatīvās darbības rīcībā esošā tehnika noveco gan fiziski, gan morāli, ir nepieciešams nodrošināt plānotu, ciklisku un pakāpenisku speciālās tehnikas nomaiņu, lai tā atbilstu faktiskās situācijas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plānots iegādāties trīs dažādus audio\ video fiksācijas ierīču komplektus, kā arī datortehniku (specializētās darbstacijas un datu masīvu) digitālo pierādījumu analīzei un apskates veikšanai. Nākamajos gados plānots turpināt speciālās tehnikas iegādi\ nomaiņu.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441 287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249 380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200 314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164 014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441 287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249 380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200 314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164 014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-441 287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-249 380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-200 314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-164 014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-441 287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-249 380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-200 314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-164 014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441 287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249 380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200 314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164 014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tbl>
            <w:tblPr>
              <w:tblStyle w:val="DefaultTable"/>
              <w:bidiVisual w:val="0"/>
              <w:tblW w:w="8250.0" w:type="dxa"/>
              <w:tblInd w:w="0.0" w:type="dxa"/>
              <w:jc w:val="righ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650"/>
              <w:gridCol w:w="856"/>
              <w:gridCol w:w="931"/>
              <w:gridCol w:w="988"/>
              <w:gridCol w:w="1072"/>
              <w:tblGridChange w:id="0">
                <w:tblGrid>
                  <w:gridCol w:w="3650"/>
                  <w:gridCol w:w="856"/>
                  <w:gridCol w:w="931"/>
                  <w:gridCol w:w="988"/>
                  <w:gridCol w:w="107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NILLTPFN plāna pasākums / aktivitāte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 gads un turpmāk ik gadu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Pilnveidot FID datu saņemšanas un analīzes, tostarp goAML sistēmu, nodrošinot nepieciešamo datu iegūšanu un analīzi automatizētā veidā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Pasākums "</w:t>
                  </w:r>
                  <w:r w:rsidR="00000000" w:rsidRPr="00000000" w:rsidDel="00000000">
                    <w:rPr>
                      <w:sz w:val="24"/>
                      <w:b w:val="1"/>
                      <w:rtl w:val="0"/>
                    </w:rPr>
                    <w:t xml:space="preserve">VID informācijas sistēmu pielāgošana atbilstoši jaunākajai goAML versijai</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86 576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0</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Izdevumu detalizēts aprēķins</w:t>
                  </w:r>
                </w:p>
                <w:tbl>
                  <w:tblPr>
                    <w:tblStyle w:val="DefaultTable"/>
                    <w:bidiVisual w:val="0"/>
                    <w:tblW w:w="79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885"/>
                    <w:gridCol w:w="1358"/>
                    <w:gridCol w:w="997"/>
                    <w:gridCol w:w="988"/>
                    <w:gridCol w:w="970"/>
                    <w:tblGridChange w:id="0">
                      <w:tblGrid>
                        <w:gridCol w:w="2885"/>
                        <w:gridCol w:w="1358"/>
                        <w:gridCol w:w="997"/>
                        <w:gridCol w:w="988"/>
                        <w:gridCol w:w="97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Izdevumu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Vienību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Vienības cena,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Summa,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Izdevumu EKK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i w:val="1"/>
                            <w:rtl w:val="0"/>
                          </w:rPr>
                          <w:t xml:space="preserve">Izmaiņu veikšana VID Datu noliktavas sistēmā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135 cilvēkdienas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641,30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86 575,50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5140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Pasākums "</w:t>
                  </w:r>
                  <w:r w:rsidR="00000000" w:rsidRPr="00000000" w:rsidDel="00000000">
                    <w:rPr>
                      <w:sz w:val="24"/>
                      <w:b w:val="1"/>
                      <w:rtl w:val="0"/>
                    </w:rPr>
                    <w:t xml:space="preserve">Izveidoto informācijas sistēmu pielāgojumu uzturēšana</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5 971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5 971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12 031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12 031</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Izdevumu detalizēts aprēķins</w:t>
                  </w:r>
                </w:p>
                <w:tbl>
                  <w:tblPr>
                    <w:tblStyle w:val="DefaultTable"/>
                    <w:bidiVisual w:val="0"/>
                    <w:tblW w:w="79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23"/>
                    <w:gridCol w:w="1024"/>
                    <w:gridCol w:w="1079"/>
                    <w:gridCol w:w="904"/>
                    <w:gridCol w:w="968"/>
                    <w:tblGridChange w:id="0">
                      <w:tblGrid>
                        <w:gridCol w:w="3223"/>
                        <w:gridCol w:w="1024"/>
                        <w:gridCol w:w="1079"/>
                        <w:gridCol w:w="904"/>
                        <w:gridCol w:w="96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Izdevumu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Izstrādes izmaksas,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Uzturēšanas izmaksu likme,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Summa,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Izdevumu </w:t>
                        </w:r>
                        <w:r w:rsidR="00000000" w:rsidRPr="00000000" w:rsidDel="00000000">
                          <w:rPr>
                            <w:sz w:val="24"/>
                            <w:rtl w:val="0"/>
                          </w:rPr>
                          <w:t xml:space="preserve">EKK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i w:val="1"/>
                            <w:rtl w:val="0"/>
                          </w:rPr>
                          <w:t xml:space="preserve">2023. gadā izveidoto informācijas sistēmu risinājumu turpmāka uzturēšana (7% no izstrādes izmaksām)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85 293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5 971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2250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i w:val="1"/>
                            <w:rtl w:val="0"/>
                          </w:rPr>
                          <w:t xml:space="preserve">2023. gadā un 2025.gadā veicamo informācijas sistēmu risinājumu turpmāka uzturēšana (7% no izstrādes izmaksām)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85 293 + 86 576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12 031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2250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7.11. Stiprināt NMPP materiāltehnisko nodrošinājumu, lai veicinātu efektīvu NILL izmeklēšanu un apkarošanu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Pasākums "</w:t>
                  </w:r>
                  <w:r w:rsidR="00000000" w:rsidRPr="00000000" w:rsidDel="00000000">
                    <w:rPr>
                      <w:sz w:val="24"/>
                      <w:b w:val="1"/>
                      <w:rtl w:val="0"/>
                    </w:rPr>
                    <w:t xml:space="preserve">VID NMPP izmantoto programmatūras licenču pagarināšana</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41 150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36 300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0</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Izdevumu detalizēts aprēķins</w:t>
                  </w:r>
                </w:p>
                <w:tbl>
                  <w:tblPr>
                    <w:tblStyle w:val="DefaultTable"/>
                    <w:bidiVisual w:val="0"/>
                    <w:tblW w:w="79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524"/>
                    <w:gridCol w:w="803"/>
                    <w:gridCol w:w="1016"/>
                    <w:gridCol w:w="914"/>
                    <w:gridCol w:w="942"/>
                    <w:tblGridChange w:id="0">
                      <w:tblGrid>
                        <w:gridCol w:w="3524"/>
                        <w:gridCol w:w="803"/>
                        <w:gridCol w:w="1016"/>
                        <w:gridCol w:w="914"/>
                        <w:gridCol w:w="9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Izdevumu veids</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Vienību skaits</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Vienības cena, EUR</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Summa, EUR</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Izdevumu EKK</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i w:val="1"/>
                            <w:rtl w:val="0"/>
                          </w:rPr>
                          <w:t xml:space="preserve">Programmatūras "Passware Kit Forensics" licenču abonēšana 2025.</w:t>
                        </w:r>
                        <w:r w:rsidR="00000000" w:rsidRPr="00000000" w:rsidDel="00000000">
                          <w:rPr>
                            <w:sz w:val="24"/>
                            <w:rtl w:val="0"/>
                          </w:rPr>
                          <w:t xml:space="preserve"> gadā </w:t>
                        </w:r>
                        <w:r w:rsidR="00000000" w:rsidRPr="00000000" w:rsidDel="00000000">
                          <w:rPr>
                            <w:sz w:val="24"/>
                            <w:i w:val="1"/>
                            <w:rtl w:val="0"/>
                          </w:rPr>
                          <w:t xml:space="preserve">uz 3 gadiem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1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4 850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4 850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2250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Programmatūras "Cellebrite UFED Ultimate" licenču abonēšana 2025.</w:t>
                        </w:r>
                        <w:r w:rsidR="00000000" w:rsidRPr="00000000" w:rsidDel="00000000">
                          <w:rPr>
                            <w:sz w:val="24"/>
                            <w:rtl w:val="0"/>
                          </w:rPr>
                          <w:t xml:space="preserve"> gadā</w:t>
                        </w:r>
                        <w:r w:rsidR="00000000" w:rsidRPr="00000000" w:rsidDel="00000000">
                          <w:rPr>
                            <w:sz w:val="24"/>
                            <w:i w:val="1"/>
                            <w:rtl w:val="0"/>
                          </w:rPr>
                          <w:t xml:space="preserve"> uz 3 gadiem</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2 gab.</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18 150</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36 300</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2250</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Programmatūras "MSAB XRY" licenču abonēšana 2026.</w:t>
                        </w:r>
                        <w:r w:rsidR="00000000" w:rsidRPr="00000000" w:rsidDel="00000000">
                          <w:rPr>
                            <w:sz w:val="24"/>
                            <w:rtl w:val="0"/>
                          </w:rPr>
                          <w:t xml:space="preserve"> gadā </w:t>
                        </w:r>
                        <w:r w:rsidR="00000000" w:rsidRPr="00000000" w:rsidDel="00000000">
                          <w:rPr>
                            <w:sz w:val="24"/>
                            <w:i w:val="1"/>
                            <w:rtl w:val="0"/>
                          </w:rPr>
                          <w:t xml:space="preserve">uz 3 gadiem</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2 gab.</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18 150</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36 300</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r w:rsidR="00000000" w:rsidRPr="00000000" w:rsidDel="00000000">
                          <w:rPr>
                            <w:sz w:val="24"/>
                            <w:i w:val="1"/>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2250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Pasākums "</w:t>
                  </w:r>
                  <w:r w:rsidR="00000000" w:rsidRPr="00000000" w:rsidDel="00000000">
                    <w:rPr>
                      <w:sz w:val="24"/>
                      <w:b w:val="1"/>
                      <w:rtl w:val="0"/>
                    </w:rPr>
                    <w:t xml:space="preserve">Speciālās tehnikas (dažādu veidu) iegāde sevišķa veida operatīvo pasākumu un speciālās izmeklēšanas darbību nodrošināšanai</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121 000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102 850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139 150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139 150</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Izdevumu detalizēts aprēķins pievienots anotācijas pielikumā (IEROBEŽOTA PIEEJAMĪBA)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Pasākums "</w:t>
                  </w:r>
                  <w:r w:rsidR="00000000" w:rsidRPr="00000000" w:rsidDel="00000000">
                    <w:rPr>
                      <w:sz w:val="24"/>
                      <w:b w:val="1"/>
                      <w:rtl w:val="0"/>
                    </w:rPr>
                    <w:t xml:space="preserve">Specializēto darbstaciju un datu masīva iegāde digitālo pierādījumu analīzei un apskates veikšanai</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131 000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0</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Izdevumu detalizēts aprēķins</w:t>
                  </w:r>
                </w:p>
                <w:tbl>
                  <w:tblPr>
                    <w:tblStyle w:val="DefaultTable"/>
                    <w:bidiVisual w:val="0"/>
                    <w:tblW w:w="79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524"/>
                    <w:gridCol w:w="1034"/>
                    <w:gridCol w:w="1016"/>
                    <w:gridCol w:w="683"/>
                    <w:gridCol w:w="942"/>
                    <w:tblGridChange w:id="0">
                      <w:tblGrid>
                        <w:gridCol w:w="3524"/>
                        <w:gridCol w:w="1034"/>
                        <w:gridCol w:w="1016"/>
                        <w:gridCol w:w="683"/>
                        <w:gridCol w:w="9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Izdevumu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Vienību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Vienības cena,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Summa,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Izdevumu EKK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i w:val="1"/>
                            <w:rtl w:val="0"/>
                          </w:rPr>
                          <w:t xml:space="preserve">Specializēto darbstaciju iegāde 2024. gadā digitālo pierādījumu analīzei un apskates veikšanai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20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3 800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76 000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5238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i w:val="1"/>
                            <w:rtl w:val="0"/>
                          </w:rPr>
                          <w:t xml:space="preserve">Disku masīva iegāde 2024. gadā digitālo pierādījumu informācijas glabāšanai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1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5238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8.2.2 Veiktas nepieciešamās izmaiņas IS, lai nodrošinātu pavadītas un nepavadītas skaidras naudas deklarāciju reģistrēšanu un informācijas apmaiņu ar Eiropas Komisiju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Pasākums "</w:t>
                  </w:r>
                  <w:r w:rsidR="00000000" w:rsidRPr="00000000" w:rsidDel="00000000">
                    <w:rPr>
                      <w:sz w:val="24"/>
                      <w:b w:val="1"/>
                      <w:rtl w:val="0"/>
                    </w:rPr>
                    <w:t xml:space="preserve">Jaunas funkcionalitātes izstrāde elektroniskai skaidras naudas deklarāciju un informācijas atklāšanas veidlapu iesniegšanai</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183 316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0</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Izdevumu detalizēts aprēķins</w:t>
                  </w:r>
                </w:p>
                <w:tbl>
                  <w:tblPr>
                    <w:tblStyle w:val="DefaultTable"/>
                    <w:bidiVisual w:val="0"/>
                    <w:tblW w:w="79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519"/>
                    <w:gridCol w:w="848"/>
                    <w:gridCol w:w="1032"/>
                    <w:gridCol w:w="857"/>
                    <w:gridCol w:w="940"/>
                    <w:tblGridChange w:id="0">
                      <w:tblGrid>
                        <w:gridCol w:w="3519"/>
                        <w:gridCol w:w="848"/>
                        <w:gridCol w:w="1032"/>
                        <w:gridCol w:w="857"/>
                        <w:gridCol w:w="94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Izdevumu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Vienību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Vienības cena,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Summa,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Izdevumu EKK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i w:val="1"/>
                            <w:rtl w:val="0"/>
                          </w:rPr>
                          <w:t xml:space="preserve">Izmaiņu veikšana VID Elektroniskajā muitas datu apstrādes sistēmā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145,44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544,50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79 192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5140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i w:val="1"/>
                            <w:rtl w:val="0"/>
                          </w:rPr>
                          <w:t xml:space="preserve">Izmaiņu veikšana VID Datu noliktavas sistēmā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156,66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641,30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100 466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5140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i w:val="1"/>
                            <w:rtl w:val="0"/>
                          </w:rPr>
                          <w:t xml:space="preserve">Izmaiņu veikšana VID Integrētajā riska informācijas sistēmā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46,7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435,60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20 342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5140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i w:val="1"/>
                            <w:rtl w:val="0"/>
                          </w:rPr>
                          <w:t xml:space="preserve">Finansējuma ietaupījums no  no NILLNP plāna ietvaros VID piešķirtā finansējuma citu informācijas sistēmu izmaiņu uzturēšanai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-16 684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2250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Pasākums "</w:t>
                  </w:r>
                  <w:r w:rsidR="00000000" w:rsidRPr="00000000" w:rsidDel="00000000">
                    <w:rPr>
                      <w:sz w:val="24"/>
                      <w:b w:val="1"/>
                      <w:rtl w:val="0"/>
                    </w:rPr>
                    <w:t xml:space="preserve">Izveidotā IS risinājuma turpmāka uzturēšana</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12 833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12 833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12 833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Izdevumu detalizēts aprēķins</w:t>
                  </w:r>
                </w:p>
                <w:tbl>
                  <w:tblPr>
                    <w:tblStyle w:val="DefaultTable"/>
                    <w:bidiVisual w:val="0"/>
                    <w:tblW w:w="79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339"/>
                    <w:gridCol w:w="1044"/>
                    <w:gridCol w:w="1108"/>
                    <w:gridCol w:w="831"/>
                    <w:gridCol w:w="877"/>
                    <w:tblGridChange w:id="0">
                      <w:tblGrid>
                        <w:gridCol w:w="3339"/>
                        <w:gridCol w:w="1044"/>
                        <w:gridCol w:w="1108"/>
                        <w:gridCol w:w="831"/>
                        <w:gridCol w:w="87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Izdevumu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Izstrādes izmaksas,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Uzturēšanas izmaksu likme,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Summa,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Izdevumu EKK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i w:val="1"/>
                            <w:rtl w:val="0"/>
                          </w:rPr>
                          <w:t xml:space="preserve">2025.gadā veicamo informācijas sistēmu risinājumu turpmāka uzturēšana (7% no izstrādes izmaksām)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183 316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12 833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2250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IZDEVUMI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441 287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249 380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200 314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164 014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2024. gadam un turpmākajiem gadiem tiks segti Finanšu ministrijas budžeta programmas 33.00.00 "Valsts ieņēmumu un muitas politikas nodrošināšana" ietvaros, līdzekļus 2024. gadam un turpmākajiem gadiem pārdalot no budžeta resora ''74. Gadskārtējā valsts budžeta izpildes procesā pārdalāmais finansējums'' programmas 10.00.00 "Noziedzīgi iegūtu līdzekļu legalizācijas un terorisma finansēšanas novēršana".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skar finansējuma pārdali starp budžeta resoriem. Finansējuma pārdales rezultātā tiks stiprināta VID kapacitāte noziedzīgi iegūtu līdzekļu legalizācijas un terorisma un proliferācijas finansēšanas novēršanas jomā. Tiesību akta projekta izstrāde nemaina esošo noziedzīgi iegūtu līdzekļu legalizācijas un terorisma un proliferācijas finansēšanas novēršanas jomas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NILLTPFN plāna 8.2.uzdevumu, tiks ieviesta funkcionalitāte elektroniskai skaidras naudas deklarāciju un informācijas atklāšanas veidlapu iesniegšanai.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24-TA-1410</w:t>
    </w:r>
    <w:r>
      <w:br/>
    </w:r>
    <w:r w:rsidR="00000000" w:rsidRPr="00000000" w:rsidDel="00000000">
      <w:rPr>
        <w:rtl w:val="0"/>
      </w:rPr>
      <w:t xml:space="preserve">Izdrukāts 29.07.2026. 21.30 - 3.0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24-TA-1410</w:t>
    </w:r>
    <w:r>
      <w:br/>
    </w:r>
    <w:r w:rsidR="00000000" w:rsidRPr="00000000" w:rsidDel="00000000">
      <w:rPr>
        <w:rtl w:val="0"/>
      </w:rPr>
      <w:t xml:space="preserve">Izdrukāts 29.07.2026. 21.30 - 3.0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anotācija_(ex_ante)_24-TA-1410.docx</dc:title>
</cp:coreProperties>
</file>

<file path=docProps/custom.xml><?xml version="1.0" encoding="utf-8"?>
<Properties xmlns="http://schemas.openxmlformats.org/officeDocument/2006/custom-properties" xmlns:vt="http://schemas.openxmlformats.org/officeDocument/2006/docPropsVTypes"/>
</file>