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20. maija noteikumos Nr. 254 "Noteikumi par līgumu, kas noslēgts ārpus pastāvīgās saimnieciskās vai profesionālās darbības vietas""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20. maija noteikumos Nr. 254 "Noteikumi par līgumu, kas noslēgts ārpus pastāvīgās saimnieciskās vai profesionālās darbības vietas"" (turpmāk – Noteikumu projekts) izstrādāts, lai nodrošinātu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Zaļās pārkārtošanās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Zaļās pārkārtošanās akts paredz, ka tirgotājiem tiek noteikts pienākums sniegt skaidru, būtisku un ticamu informāciju par precēm, un tiek ieviesti īpaši noteikumi, ar kuriem tiktu novērsta negodīga komercprakse, kas šobrīd maldina patērētājus un liedz viņiem izdarīt ilgtspējīga patēriņa izvēli, piemēram, novēršot tādas komercprakses, kas saistītas ar preču agrīnu novecošanu, maldinošām vidiskuma norādēm (“zaļmaldināšana”), maldinošu informāciju par produktu vai tirgotāju uzņēmumu sociālajām īpašībām vai nepārredzamiem un apšaubāmiem ilgtspējas marķējumiem, kā arī tādiem apritīguma aspektiem kā ilgizturība, remontējamība vai reciklējamība. Minētās prasības tiks pārņemtas gan ar šo Noteikumu projektu, gan grozījumiem Negodīgas komercprakses aizlieguma likumā (turpmāk - NKAL) un Patērētāju tiesību aizsardzības likumā (turpmāk - PTAL), gan grozījumiem Ministru kabineta 2014. gada 20. maija noteikumos Nr. 255 "Noteikumi par distances līgumu" (turpmāk Noteikumi Nr.255).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grozīt esošos punktus un papildināt ar jauniem punktiem Ministru kabineta 2014. gada 20. maija noteikumus Nr. 254 "Noteikumi par līgumu, kas noslēgts ārpus pastāvīgās saimnieciskās vai profesionālās darbības vietas" (turpmāk - Noteikumi Nr.254), lai nodrošinātu augstāku patērētāju un vides aizsardzības līmeni un palielinātu patērētāju informētību, nosakot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tirgotājiem atgādināt patērētājiem par preču juridiskās atbilstības garantijas esamību, tai skaitā par minimālo divu gadu periodu, izmantojot saskaņoto paziņojumu, kura dizainu un saturu izstrādās Eiropas Komisija, un pienākumu atgādināt par ilgizturības  komercgarantiju, ja tāda tiek piedāvāta, izmantojot saskaņoto marķējumu, kura dizainu un saturu izstrādās Eiropas Komisija, kā arī pa citiem pēcpārdošanas pakalpojumiem un to nosacījumiem,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tirgotājiem informēt patērētājus, ja ražotājs šādu informāciju ir sniedzis, par preces rezerves daļu pieejamību, aprēķinātajām remonta izmaksām un citiem ar preces remontu saistītajiem aspektiem.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Zaļās pārkārtošanās akta prasību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Zaļā pārkārtošanās akta 4.pantā noteiktajam, dalībvalstis piemēro Zaļā pārkārtošanās akta prasības no 2026. gada 27. septembra. Latvija nav saskatījusi nepieciešamību minētās normas piemērot ātrāk.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6.martā stājās spēkā Zaļās pārkārtošanās akts, ko jāpiemēro no 2026.gada 27.septembra. Zaļās pārkārtošanās akta mērķis ir veicināt Eiropas Savienības iekšējā tirgus pienācīgu darbību ar augstu patērētāju un vides aizsardzības līmeni, lai paātrinātu zaļās pārkārtošanās procesus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 primāri tiek regulēta Patērētāju tiesību aizsardzības likuma normās, lai nodrošinātu tiem iespēju aizsargāt un īstenot savas likumīgās tiesības. Taču, pārņemot Zaļā pārkārtošanās akta prasības, nepieciešams veikt ne tikai grozījumus minētajā likumā, bet arī Noteikumos Nr.254, kuros tiek reglamentēti noteikumi par līgumiem, kas noslēgti ārpus pastāvīgās saimnieciskās vai profesionālās darbības vietas un kas ir izdoti saskaņā ar Patērētāju tiesību aizsardzības likuma 9.panta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Noteikumos Nr.254 ir iekļautas prasības pārdevējam vai pakalpojuma sniedzējam skaidri un saprotami sniegt informāciju patērētājam, pirms tas ir uzņēmies līguma saistības vai piekritis piedāvājumam, attiecībā uz patērētāja likumīgajām tiesībām, ja prece vai pakalpojums neatbilst līguma noteikumiem. Šo informēšanas prasību katrs komersants veic pēc saviem ieskatiem, nodrošinot, ka informācija ir skaidri un viegli pieejama patērētājam. Taču, lai nodrošinātu patērētāju informētību un veicinātu to izpratni par zaļās pārkārtošanās procesiem, nepieciešams papildus noteikt, ka šis informēšanas pienākums tiek pienācīgi veikts un sniegtā informācija par preces garantijas noteikumiem ir skaidra un nepārprotama. Attiecīgi ir nepieciešams veikt izmaiņas Noteikumos Nr.254, nosakot šīs papildus informēšanas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 ir noteiktas atsevišķas informēšanas prasības pirms patērētājam kļūst saistošs līgums vai attiecīgais piedāvājums, kas cita starpā nosaka tirgotāja pienākumu informēt patērētājus par tādiem preces vai pakalpojuma aspektiem kā attiecīgās preces vai pakalpojuma galvenās īpašības, informācija par patērētāja likumīgajām tiesībām, ja prece vai pakalpojums neatbilst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labāku informētību par ilgtspējīga patēriņa iespējām, nepieciešams noteikt, ka turpmāk tirgotājiem būs arī pienākums informēt par ražotāja komercgarantiju attiecībā uz ilgizturību, remonta iespējām, tādējādi iedrošinot patērētājus izvēlēties tādas preces vai pakalpojumus, kas sagaidāmi kalpos ilgāk un kuru atbilstības nodrošināšana ir būtiski ilgāka nekā tām precēm, kurām tiek piedāvāta tikai likumiskais garantijas termiņš (kas Latvijā ir noteikts 2 gadi), un šī informēšana tiks veikta izmantojot Eiropas komisijas izstrādāto saskaņoto paziņojumu un saskaņoto marķējumu (gan saskaņotais marķējums, gan saskaņotais paziņojums šobrīd ir izstrādes procesā, atbilstoši Zaļā pārkārtošanās aktā noteiktajam, Eiropas Komisija ar īstenošanas aktiem tos abus izstrādā un nosaka līdz 2025. gada 27.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tiek veiktas, lai nodrošinātu patērētāju labāku informētību par to visām likumiskajām tiesībām visās Eiropas Savienības dalībvalstīs harmonizēti, tostarp nodrošinot, ka sniegtā informācija ir skaidra un visiem saprotama neatkarīgi no valsts, kurā prece tiek iegādāta vai pakalpojums tiek saņemts.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Nr.254 tiek papildināti ar jauniem punktiem, kā arī tiek grozīti atsevišķi punkti, nosakot papildu pienākumus tirgotājiem patērētāju informēšanas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Nr.254 tiek iekļautas papildus prasības 5.punktā, turpmāk nosakot, ka pirms patērētājs ir uzņēmies līguma saistības vai piekritis piedāvājumam, pārdevējs vai pakalpojuma sniedzējs skaidri un saprotami sniedz patērētājam informāciju ne tikai par preces piegādes vispārīgiem nosacījumiem, bet arī par videi draudzīgām piegādes opcijām, ja tādas tiek piedāvātas. Tostarp tiek noteikts, ka informatīvais atgādinājums par patērētāja likumīgajām tiesībām, ja prece vai pakalpojums neatbilst līguma noteikumiem turpmāk ir norādāms, izmantojot saskaņoto paziņojumu, kuru harmonizēti izstrādās Eiropas Komisija. Ar grozījumiem Noteikumos Nr.254 turpmāk tiek iekļauta arī prasība tirgotājam sniegt informāciju par bez papildu samaksas piedāvāto ražotāja komercgarantiju attiecībā uz ilgizturību, kura attiecas uz visu preci un kuras termiņš pārsniedz divus gadus, ja ražotājs šādu informāciju sniedz pārdevējam, papildus atgādinot arī par preces "juridisko" garantiju (2 gadi), izmantojot saskaņoto marķējumu, kuru harmonizēti izstrādās Eiropas Komisija. Abi šie atgādinājumi ir sniedzami kopā, lai patērētāji ilgizturības komercgarantiju nesajauktu ar juridisko atbilstības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tiek noteikts arī attiecībā uz precēm ar digitāliem elementiem, digitālo saturu vai digitālajiem pakalpojumiem, nosakot tirgotāja pienākumu sniegt informatīvu atgādinājumu par "juridisko" garantiju (2 gadi), kā arī, ja šāda informācija ir sniegta un ir attiecināma, informāciju par minimālo laikposmu, kādā ražotājs vai pakalpojuma sniedzējs nodrošina programmatūras atjauninājumus.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Nr.254 5.punkts tiek papildināts ar diviem jauniem apakšpunktiem, nosakot pienākumu informēt patērētāju arī par preces remontējamības indeksu (remontējamības indekss ir indekss, kas atspoguļo preces piemērotību remontēšanai un ir balstīts uz Eiropas Savienībā saskaņotām prasībām), ja tas ir attiecināms, savukārt, ja tas nav attiecināms, ir sniedzama informācija par preces rezerves daļām, kas nepieciešamas, lai uzturētu preces atbilstību līguma noteikumiem (piemēram, rezerves daļu pieejamība, aptuvenās izmaksas, pasūtīšanas procedūra, kā arī informācija par remonta ierobežojumiem un uzturēšanas un remontēšanas instrukciju pieejamību), ja ražotājs šādu informāciju sniedz pārdevējam vai pakalpojuma sniedzējam. Šāds nosacījums tiek ieviests, lai patērētāji varētu pieņemt uz informāciju balstītu lēmumu par darījuma veikšanu un izvēlēties preces, kuras ir vieglāk saremontēt, ja radīsies šāda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atgādinājumu mērķis ir nodrošināt, ka patērētāji varēs pieņemt labāk pamatotus un informētus pirkuma lēmumus. Tas nozīmē, ka patērētāji varēs pieņemt apzinātākus lēmumus, tādējādi veicinot ilgtspējīgāku patēriņa modeļu izveidi sabiedrībā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 piemērošanai būs pozitīva ietekme uz patērētājiem, jo tiks nodrošināta to labāka informētība par precēm, to dažādajiem aspektiem un viņu iegādāto preču atbilstības līguma noteikumiem tiesībām un skaidra informācija par ilgizturības komercgarantijas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piemērošanai būs ietekme uz tirgotājiem, ņemot vērā, ka tiem būs jāievēro jaunie noteikumi un uzliktie pienākumi. Ar šo regulējumu tirgotājiem tiks radīts papildu administratīvais slogs un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šīs piemērošanas administratīvo un atbilstības izmaksas tirgotājiem pašreizējā Noteikumu projekta izstrādes stadijā precīzi nav iespējams aprēķināt, jo nav precīzas informācijas par to, vai un kādā apmērā tirgotāji jau šobrīd izpilda paredzētās jaunās prasības. Tāpat nav precīzu datu par tirgotāju skaitu Latvijā, kas piedāvā patērētājiem iespēju noslēgt līgumu ārpus pastāvīgās saimnieciskās vai profesionālās darbības vietas, ņemot vērā, ka to skaits pastāvīgi mainās un to skaitam ir tendence palielināties, taču jāņem vērā, ka to tirgotāju skaits, uz kuriem attieksies jaunie informēšanas pienākumi, ir liels skaits uzņēmumu.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tirgotājiem.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tirgotājiem.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32024L0825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Zaļās pārkārtošanās aktu, normas piemēro no 2026.gada 27.septembra.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w)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16.panta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c) apakšpunkta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1.1.apakšpunkts (Noteikumu Nr.254 5.9. apakšpunkts), Noteikumu Nr.255 grozījumu projekta (24-TA-1829) 1.1.apakšpunkts (Noteikumu Nr.255 5.9.apakšpunkts)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(Noteikumu Nr.254 5.14. apakšpunkts), Noteikumu Nr.255 grozījumu projekta (24-TA-1829) 1.2.apakšpunkts (Noteikumu Nr.255 5.14.apakšpunkts)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1.3.apakšpunkts (Noteikumu Nr.254 5.15.</w:t>
            </w:r>
            <w:r w:rsidR="00000000" w:rsidRPr="00000000" w:rsidDel="00000000">
              <w:rPr>
                <w:sz w:val="24"/>
                <w:vertAlign w:val="superscript"/>
                <w:rtl w:val="0"/>
              </w:rPr>
              <w:t xml:space="preserve">1</w:t>
            </w:r>
            <w:r w:rsidR="00000000" w:rsidRPr="00000000" w:rsidDel="00000000">
              <w:rPr>
                <w:sz w:val="24"/>
                <w:rtl w:val="0"/>
              </w:rPr>
              <w:t xml:space="preserve"> apakšpunkts), Noteikumu Nr.255 grozījumu projekta (24-TA-1829) 1.3.apakšpunkts (Noteikumu Nr.255 5.15</w:t>
            </w:r>
            <w:r w:rsidR="00000000" w:rsidRPr="00000000" w:rsidDel="00000000">
              <w:rPr>
                <w:sz w:val="24"/>
                <w:vertAlign w:val="superscript"/>
                <w:rtl w:val="0"/>
              </w:rPr>
              <w:t xml:space="preserve">1 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lb) un lc)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1.4.apakšpunkts (Noteikumu Nr.254 5.15.</w:t>
            </w:r>
            <w:r w:rsidR="00000000" w:rsidRPr="00000000" w:rsidDel="00000000">
              <w:rPr>
                <w:sz w:val="24"/>
                <w:vertAlign w:val="superscript"/>
                <w:rtl w:val="0"/>
              </w:rPr>
              <w:t xml:space="preserve">2</w:t>
            </w:r>
            <w:r w:rsidR="00000000" w:rsidRPr="00000000" w:rsidDel="00000000">
              <w:rPr>
                <w:sz w:val="24"/>
                <w:rtl w:val="0"/>
              </w:rPr>
              <w:t xml:space="preserve"> apakšpunkts), Noteikumu Nr.255 grozījumu projekta (24-TA-1829) 1.4.apakšpunkts (Noteikumu Nr.255 5.15</w:t>
            </w:r>
            <w:r w:rsidR="00000000" w:rsidRPr="00000000" w:rsidDel="00000000">
              <w:rPr>
                <w:sz w:val="24"/>
                <w:vertAlign w:val="superscript"/>
                <w:rtl w:val="0"/>
              </w:rPr>
              <w:t xml:space="preserve">2</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1.6.apakšpunkts (Noteikumu Nr.254 5.23. apakšpunkts), Noteikumu Nr.255 grozījumu projekta (24-TA-1829) 1.6.apakšpunkts (Noteikumu Nr.255 5.23.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1.7.apakšpunkts (Noteikumu Nr.254 5.24. apakšpunkts), Noteikumu Nr.255 grozījumu projekta (24-TA-1829) 1.7.apakšpunkts (Noteikumu Nr.255 5.24.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Nr.255 grozījumu projekta (24-TA-1829) 1.8.apakšpunkts (Noteikumu Nr.255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Zaļās pārkārtošanās akts neierobežo dalībvalsti piemērot jau esošu regulējumu, kas piemērojams uz subjektiem, kā arī transponējot Direktīvu nav ierobežotas tiesības piemērot stingrāku jau esošu regulējumu.  Transponējot (pārņemot) Zaļās pārkārtošanās akta normas, nav izmantota rīcības brīvība noteikt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Zaļās pārkārtošanās aktu tiek noteiktas jaunas informēšanas prasības tirgotājiem, Patērētāju tiesību aizsardzības centram būs jāuzrauga jauno nosacījumu ievērošana. Attiecīgi Patērētāju tiesību aizsardzības centra uzdevumi tiek paplašināti. Noteikumu projektā paredzēto komercprakses uzraudzību PTAC nodrošinās tam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24-TA-1828</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24-TA-1828</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anotācija_(ex_ante)_24-TA-1828.docx</dc:title>
</cp:coreProperties>
</file>

<file path=docProps/custom.xml><?xml version="1.0" encoding="utf-8"?>
<Properties xmlns="http://schemas.openxmlformats.org/officeDocument/2006/custom-properties" xmlns:vt="http://schemas.openxmlformats.org/officeDocument/2006/docPropsVTypes"/>
</file>