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20. jūnija noteikumos Nr. 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20. jūnija noteikumos Nr. 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 (turpmāk – Noteikumu projekts) ir  Labklājības ministrijas (turpmāk – LM) iniciatīva. Noteikumu projekts paredz precizēt 3.1.2.5.i. investīcijas finanšu attiecināmības nosacījumus, atsauces uz aktuālajiem tiesību aktiem, kā arī redakcionāli precizēt komercdarbības atbalsta piešķiršanas nosacījumus. Noteikumu projekts stāsies spēkā indikatīvi 2024. gada IV. ceturksnī.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finanšu attiecināmības nosacījumus, īstenojot atvērto tiešsaistes kursu platformā piedāvāto augstākās izglītības iestādes vai nozares uzņēmuma izstrādāto izglītības programmu apguvi, precizēt izmaksas, kuras var plānot iepirkumu līgumu ietvaros un redakcionāli precizēt komercdarbības atbalsta piešķiršanas nosacījumus. Precizējumi ir redakcionāla rakstura un neietekmēs projekta īstenošanu, iepriekš noteikto atskaites punktu, mērķrādītāju, uzraudzības un kopējo rādītāju sasniegšanu.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20.06.2023. noteikumu Nr. 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 (turpmāk – MK noteikumi Nr. 323):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- 16.3.5. apakšpunkts nosaka, ka Nodarbinātības valsts aģentūra (turpmāk – NVA), īstenojot šo noteikumu 15.7. apakšpunktā noteikto atbalstāmo darbību  (atvērto tiešsaistes kursu platformā piedāvātu augstākās izglītības iestādes vai nozares uzņēmuma izstrādātu izglītības programmu apguve), var paredzēt atvērto tiešsaistes kursu platformā piedāvāto augstākās izglītības iestādes vai nozares uzņēmuma izstrādāto izglītības programmu apguves un apliecinājuma dokumentu saņemšanas izmaksas mērķa grupas personai. Mērķa grupas persona sākotnēji mācību izmaksas finansē pati;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punkts nosaka izmaksas, kuras NVA var plānot iepirkumu līgumu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- 23.3. un 26.1.1.2. apakšpunktā ir atsauce uz Eiropas Parlamenta un Padomes 2018. gada 18. jūlija Regulu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- 36.5. apakšpunktā un 37. punktā ir ietverti nosacījumi komercdarbības atbalsta piešķiršanai, uzskaitei un piešķīrumu apliecinošo datu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3.1.2.5.i. investīcija tiek īstenota atbilstoši iepriekš apstiprinātajam plānam, tās mērķim, atskaites punktiem, mērķrādītājiem un uzraudzības rādītājam.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noteikumi Nr. 323 neparedz iespēju segt licenču iegādes izmaksas izglītības programmu īstenošanai, lai NVA varētu sniegt mērķa grupas personām iespēju bez maksas apgūt piedāvātās programmas, piemēram, starptautiskā atvērto tiešsaistes kursu platformā “Coursera” (turpmāk – platforma “Coursera”). MK noteikumi Nr. 323 paredz, ka mērķa grupas persona sākotnēji mācību izmaksas sedz, ieguldot savus finanšu līdzekļus. Ierobežota ir to mērķa grupas personu dalība mācībās, kuriem nav mācību izmaksu segšanai nepieciešamais finansējums. Arī MK  25.01.2011. noteikumu Nr. 75 “Noteikumi par aktīvo nodarbinātības pasākumu un preventīvo bezdarba samazināšanas pasākumu organizēšanas un finansēšanas kārtību un pasākumu īstenotāju izvēles principiem” (turpmāk – MK noteikumi Nr. 75) 43.10. apakšpunkts paredz, ka bezdarbnieku un darba meklētāju apmācībai paredzētos finanšu līdzekļus var izlietot ne tikai izdevumu kompensācijai, bet arī izdevumu segšanai, īstenojot atvērto tiešsaistes kursu platformu mācības.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Licenču pieejas izdevīguma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grupas persona var izvēlēties mācības nevis sev pieejamā budžeta ietvaros, jo līdzšinējā pieeja paredz, ka sākotnēji jāveic privātie finanšu ieguldījumi un mācības pabeidzot var saņemt to kompensāciju, bet iekļaujoties MK noteikumos Nr. 75 noteiktajā izmaksu apjomā. Proti, MK noteikumu Nr. 75 33.</w:t>
      </w:r>
      <w:r w:rsidR="00000000" w:rsidRPr="00000000" w:rsidDel="00000000">
        <w:rPr>
          <w:vertAlign w:val="superscript"/>
          <w:rtl w:val="0"/>
        </w:rPr>
        <w:t xml:space="preserve">3</w:t>
      </w:r>
      <w:r w:rsidR="00000000" w:rsidRPr="00000000" w:rsidDel="00000000">
        <w:rPr>
          <w:rtl w:val="0"/>
        </w:rPr>
        <w:t xml:space="preserve"> punkts nosaka, ka mērķa grupas personu var iesaistīt atvērto tiešsaistes kursu platformā piedāvāto mācību programmu apguvē, par mācību programmu apguvi kopā nepārsniedzot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grupas persona mācās to, kas viņam nepieciešams, nevis tikai to, ko var atļauties, iegūstot augstākas zināšanas un apgūstot plašāku kursu klāstu. Īstenojot mācības ar licences starpniecību, personai neiestājas finansiāls risks, un ir pieejami pasaules līmeņa mācību kursi vienuviet ar plašu izglītības iestāžu, uzņēmumu klāstu un mācību kursu daudzveidību atbalstāmajās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nepieciešams mazāks finansējuma apmērs, nekā tas būtu nepieciešams, lai nodrošinātu līdzvērtīgu pakalpojumu,  kompensējot  atsevišķi iegādātus kursus. Mērķa grupas personai par vienu cenu tiek nodrošināta piekļuve plašam kursu klāstam;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ievērojami samazinās administratīvais slogs, jo nav nepieciešams veikt norēķinus par katru atsevišķo gadījumu.  Pieeja sniedz iespēju efektīvāk un ātrāk pārvaldīt mācību procesu, samazinot nepieciešamos cilvēkresursus.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arī MK noteikumu Nr. 323 16.3.5. apakšpunktā nav paredzēts, ka iepirkumu līgumu ietvaros var plānot  licenču iegādes izmaksas atvērto tiešsaistes kursu platformā piedāvātu augstākās izglītības iestādes vai nozares uzņēmuma izstrādātu izglītības programmu apguves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šobrīd MK noteikumi Nr. 323 neparedz elastīgas personāla piesaistes iespējas, t. i.,  neparedz iespēju projekta personālu piesaistīt arī uz uzņēmuma līguma pamata, kas atsevišķos gadījumos ir kritiski nepieciešams projekta darbību īstenošanas nodrošināšanai (piemēram, iepirkumu speciālista, jurista piesaiste uz uzņēmuma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323 23.3. un 26.1.1.2. apakšpunktā ir atsauce uz regulu Nr. 2018/1046, taču ir stājusies spēkā Eiropas Parlamenta un Padomes 2024. gada 23. septembra Regula (ES, Euratom) 2024/2509 par finanšu noteikumiem, ko piemēro Savienības vispārējam budžetam (pārstrādāta redakcija) (turpmāk – Komisijas regula 2024/2509), kuras 279. pants nosaka, ka tā atceļ Komisijas regulu Nr. 2018/1046.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nebūtiski, bet MK noteikumu Nr. 323 36.5. apakšpunktā un 37. punktā ietvertie nosacījumi redakcionāli atšķiras no MK noteikumu Nr. 75 192.16 un 192.19 punktā ietvertajām nosacījumu redakcijām. Papildus MK noteikumu Nr. 323  37. punkts paredz atsauci uz MK 21.11.2018. noteikumiem Nr. 715 “</w:t>
      </w:r>
      <w:r w:rsidR="00000000" w:rsidRPr="00000000" w:rsidDel="00000000">
        <w:rPr>
          <w:i w:val="1"/>
          <w:rtl w:val="0"/>
        </w:rPr>
        <w:t xml:space="preserve">De minimis </w:t>
      </w:r>
      <w:r w:rsidR="00000000" w:rsidRPr="00000000" w:rsidDel="00000000">
        <w:rPr>
          <w:rtl w:val="0"/>
        </w:rPr>
        <w:t xml:space="preserve">atbalsta uzskaites un piešķiršanas kārtība” (turpmāk – MK noteikumi Nr. 715), taču pēdējie šo noteikumu grozījumi paredz izmaiņas MK noteikumu Nr. 715 nosaukumā, izslēdzot no tā tekstu “un </w:t>
      </w:r>
      <w:r w:rsidR="00000000" w:rsidRPr="00000000" w:rsidDel="00000000">
        <w:rPr>
          <w:i w:val="1"/>
          <w:rtl w:val="0"/>
        </w:rPr>
        <w:t xml:space="preserve">de minimis</w:t>
      </w:r>
      <w:r w:rsidR="00000000" w:rsidRPr="00000000" w:rsidDel="00000000">
        <w:rPr>
          <w:rtl w:val="0"/>
        </w:rPr>
        <w:t xml:space="preserve"> atbalsta uzskaites veidlapu paraugiem”.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16.3.5. apakšpunkta redakciju, papildinot ar nosacījumu, ka 15.7. apakšpunktā noteiktās atbalstāmās darbības (atvērto tiešsaistes kursu platformā piedāvātu augstākās izglītības iestādes vai nozares uzņēmuma izstrādātu izglītības programmu apguve) nodrošināšanai var paredzēt licenču iegādes (iegāde uz noteiktu termiņu, licenču abonēšana) izmaksas izglītības programmu nodrošināšanai. Tādējādi gadījumā, kad mērķa grupas persona izvēlēsies mācības NVA iepirkto licenču ietvaros, piemēram, platformā “Coursera”, tai uz noteiktu laiku tiks piešķirta piekļuve platformai. Savukārt, ja mērķa grupas persona izvēlēsies mācības citā platformā, piemēram, platformā “EdX”, “FutureLearn”, tai tiks segti mācību izdevumi, uzrādot iegūto apliecību (kā tas ir paredzēts pašreiz MK noteikumos Nr. 323). Noteikumu projekts paredz mērķa grupas personām plašākas iespējas piedalīties atvērto tiešsaistes kursu platformā piedāvātu augstākās izglītības iestādes vai nozares uzņēmuma izstrādātu izglītības programmu apguvē, kā arī plašāku šo mācību pieejamību, jo mērķa grupai nebūs jāinvestē savs finansējums. Atvērto tiešsaistes kursu platformās NVA klientiem tiek piedāvāts attīstīt prasmju grupas, kuras ir pieprasītas darba tirgū (atbilstoši LM Apmācību komisijas apstiprinātajam sarakstam. Turpmāk lēmumus par sarakstiem pieņems 2024. gada jūlijā izveidotā Ekonomikas ministrijas (turpmāk – EM) Apvienotā pieaugušo izglītības koordinācijas komisija (turpmāk – APIKK)): valsts un svešvalodu apguve, uzņēmējdarbība, datorzinības, datu zinātne, IT prasmes, projektu vadība, kiberdrošība, pārvaldība/mārketings/e-komercija, caurviju prasmes, piemēram, komunikācijas un pilsoniskās prasmes u. c. APIKK ir EM izveidota starpnozaru koleģiāla ekspertu institūcija, kuras izveides mērķis ir nodrošināt saskaņotu mācību piedāvājumu pieaugušo izglītības jomā, īstenot saskaņotu iesaistīto institūciju darbību un pārvaldības koordināciju pieaugušo izglītības jomā cilvēkkapitāla attīstības stratēģisko mērķu sasniegšanai. Lai pieņemtu lēmumu par noteiktās izglītības/apmācību programmas pievienošanu vai svītrošanu no izglītības un apmācību programmu saraksta, APIKK analizē informāciju par darba tirgus ilgtermiņa, vidējā un īstermiņa prognozēm (pieejamas https://prognozes.em.gov.lv,  https://prognozes.nva.gov.lv), NVA reģistrēto bezdarbnieku skaitu noteiktajās profesijās, reģistrēto brīvo darba vietu skaitu noteiktajās profesionālajās jomās, NVA klientu iesaisti izglītības programmās, ilgstoši neaizpildīto darba vietu profilu, klientu vēlmēm apgūt noteiktās prasmes un kompetences, darba iekārtošanās rādītājiem pēc dalības apmācību pasākumos u.c. faktorus. Priekšlikumus apmācību programmu saraksta papildināšanai var iesniegt gan APIKK dalībnieki, gan citas institūcijas vai civilsabiedrība, piemēram, eksperti no nozaru ekspertu padomēm (https://www.nozaruekspertupadomes.lv/nozaru-ekspertu-padomes), kuras tajā skaitā sekmē un regulāri izskata jautājumus, kas ir saistīti ar tautsaimniecības nozaru profesionālās izglītības efektivitātes un kvalitātes paaugstināšanu. Mācību vajadzību noteikšanā būtiska ir NVA klientu profilēšana, kura tiek veikta katram reģistrētajam bezdarbniekam. NVA klientu profilēšanas metode izstrādāta, lai noskaidrotu darba atrašanu kavējošos faktorus, noteiktu katra klienta darba atrašanas iespējas, nodrošinot mērķtiecīgu NVA piedāvāto pakalpojumu piemērošanu klienta ātrākai atgriešanai darba tirgū. Profilēšana tiek veikta gan intervējot klientu, gan izmantojot datus no Bezdarbnieku uzskaites un reģistrēto vakanču informācijas sistēmas, tā rezultātā NVA klientus klasificējot četrās grupās: klienti ar augstām, vidējām, zemām un ļoti zemām darba atrašanas iespējām. 3.1.2.5.i. investīcijas ietvaros izstrādātais digitālais rīks papildina jau esošo klientu profilēšanas metodi, ļaujot padziļinātāk izvērtēt katra klienta darba atrašanas iespējas un tā kavējošos faktorus, pamatojoties uz klienta prasmju pašvērtējumu. Attiecīgi digitālais rīks sniedz iespēju mērķtiecīgāk piemērot 3.1.2.5.i. investīcijas ietvaros paredzētos mācību pasākumus, attīstot prasmes, tostarp digitālās prasmes, kuras klientam pietrūkst ātrākai tā atgriešanai darba tirgū.  Digitālo rīku un tā ietvaros izstrādāto testu rezultātus savā darbā izmanto NVA karjeras konsultanti, konsultējot klientus par mācību vajadzībām, nosakot klientu stiprās puses, kā arī prasmes, kuras nepieciešams uzlabot, palīdzot klientiem veikt izvēles karjeras attīstībā. Tāpat digitālo rīku izmanto NVA nodarbinātības aģenti un nodarbinātības organizatori, nosakot klienta profilēšanas grupu. Mācības tiek piedāvātas klientiem, kuru prasmju līmenis dažādu iemeslu dēl vairs neatbilst darba tirgum (personai ir zems izglītības līmenis, iepriekšējā kvalifikācija vairs neatbilst darba tirgus prasībām, personai ir vājas valodas, IT prasmju zināšanas un tml. – to nosaka, piemēram, MK noteikumu Nr. 75  26., 31.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17. punkta redakciju, paredzot, ka projekta MK noteikumu Nr. 323 16.1.1. apakšpunktā noteiktās personāla izmaksas un 16.3.5. apakšpunktā noteiktās atvērto tiešsaistes kursu platformā piedāvāto augstākās izglītības iestādes vai nozares uzņēmuma izstrādāto izglītības programmu apguves izmaksas var plānot iepirkumu līgumu ietvaros. Paredzot, ka projekta personāls var tikt piesaistīts arī iepirkumu līgumu ietvaros, tiek nodrošinātas plašākas projekta personāla piesaistes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23.3. un 26.1.1.2. apakšpunktu, atsaucoties uz Komisijas regulu 2024/2509;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36.5. apakšpunkta un 37. punkta redakcijas, salāgojot ar MK noteikumu Nr. 75 192.</w:t>
      </w:r>
      <w:r w:rsidR="00000000" w:rsidRPr="00000000" w:rsidDel="00000000">
        <w:rPr>
          <w:vertAlign w:val="superscript"/>
          <w:rtl w:val="0"/>
        </w:rPr>
        <w:t xml:space="preserve">16</w:t>
      </w:r>
      <w:r w:rsidR="00000000" w:rsidRPr="00000000" w:rsidDel="00000000">
        <w:rPr>
          <w:rtl w:val="0"/>
        </w:rPr>
        <w:t xml:space="preserve"> un 192.</w:t>
      </w:r>
      <w:r w:rsidR="00000000" w:rsidRPr="00000000" w:rsidDel="00000000">
        <w:rPr>
          <w:vertAlign w:val="superscript"/>
          <w:rtl w:val="0"/>
        </w:rPr>
        <w:t xml:space="preserve">19</w:t>
      </w:r>
      <w:r w:rsidR="00000000" w:rsidRPr="00000000" w:rsidDel="00000000">
        <w:rPr>
          <w:rtl w:val="0"/>
        </w:rPr>
        <w:t xml:space="preserve"> punkta redakciju un MK noteikumu Nr. 715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Mācības ar licenču pieeju tiks īstenotas esošā projekta finansējuma ietvaros, plānotajām izmaiņām nav negatīvas ietekmes uz sasniedzamajiem mērķrādītājiem un uzraudzības rādītāju.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Ierosinātajiem grozījumiem nav negatīva ietekme uz NVA kā finansējuma saņēmēju. NVA, ir informēts par Noteikumu projektu tā izstrādes un saskaņošanas gaitā, tostarp par to, ka Noteikumu projektam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būs veicami 2023. gada 16. oktobra  vienošanās Nr. 3.1.2.5.i.0/1/23/I/CFLA/001 par projekta Nr.3.1.2.5.i.0/1/23/I/CFLA/001 “Prasmju pilnveide pieaugušajiem” (turpmāk – projekts)  īstenošanu, kā arī projekta  iepirkumu plānā, to papildinot ar iepirkumu licenču iegādei (abonēšanai);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licenču iegādes (abonēšanas) izmaksas būs attiecināmas no Noteikumu projekta spēkā stāšanās brīža līdz projekta  īstenošanas noslēgumam, t.i., līdz 2026. gada 30. jūnijam. NVA, īstenojot projektu, saskaņā ar MK noteikumu Nr. 323 26.1.7. apakšpunktu ir pienākums novērst dubultā finansējuma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Noteikumu projekta stāšanās spēkā informācija par grozījumiem tiks ievietota NVA tīmekļvietnē, informējot mērķa grupu un sabiedrību kopumā par paredzētajām izmaiņām – par plašākām iespējām (bez privātā finansējuma ieguldījuma) dalībai atvērto tiešsaistes kursu platformu mācībās.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meklētāji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Bezdarba riskam pakļautās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Tiešie atbalsta saņēmēji, kuriem Noteikumu projekts paredz plašākas iespējas piedalīties atvērto tiešsaistes kursu platformā piedāvātu augstākās izglītības iestādes vai nozares uzņēmuma izstrādātu izglītības programmu apguvē, tostarp neinvestējot savu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Darbaspēka kvalifikācijas paaugstināšana veicinās uzņēmumu iespējas radīt labākus apstākļus to izaugsmei, attīstībai un digitālo risinājumu ieviešanai.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Darbaspēka kvalifikācijas paaugstināšana veicinās uzņēmumu iespējas radīt labākus apstākļus to izaugsmei, attīstībai un digitālo risinājumu ieviešanai.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3.1.2.5.i. investīciju, plānots, ka tiks samazināts bezdarbnieku un darba meklētāju skaits (tai skaitā, sniedzot atbalstu bezdarba riskam pakļautajām personām, lai tās nenokļūtu bezdarba situācijā) un tādējādi arī pazemināsies bezdarba līmenis, jo atbilstoši mācību pasākumu izvērtējumu rezultātiem, pirmo sešu mēnešu laikā vidēji 50 % dalībnieku atgriežas darba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13. decembra Regula (ES) 2023/2831 par Līguma par ES darbību 107. un 108. panta piemērošanu de minimis atbalstam (ES Oficiālais Vēstnesis, 2023. gada 15. decembris, Nr. L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Euratom) 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30. septembra Regula (ES, Euratom) 2024/2509 par finanšu noteikumiem, ko piemēro Savienības vispārējam budžetam (ES Oficiālais Vēstnesis, 2024. gada 26. septembris, Nr. L 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717/2014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27. jūnija Regula (EK) Nr. 717/2014 par Līguma par ES darbību 107. un 108. panta piemērošanu de minimis atbalstam zvejniecības un akvakultūras nozarē (ES Oficiālais Vēstnesis, 2014. gada 28. jūnijs, Nr. L 190)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1408/2013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1408/2013 par Līguma par ES darbību 107. un 108. panta piemērošanu de minimis atbalstam lauksaimniecības nozarē (ES Oficiālais Vēstnesis, 2013. gada 24. decembris, Nr. L 352)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13. decembra Regula (ES) 2023/2831 par Līguma par ES darbību 107. un 108. panta piemērošanu de minimis atbalstam (ES Oficiālais Vēstnesis, 2023. gada 15. decembris, Nr. L 2023/2831)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3.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30. septembra Regula (ES, Euratom) 2024/2509 par finanšu noteikumiem, ko piemēro Savienības vispārējam budžetam (ES Oficiālais Vēstnesis, 2024. gada 26. septembris, Nr. L 2024/2509)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27. jūnija Regula (EK) Nr. 717/2014 par Līguma par ES darbību 107. un 108. panta piemērošanu de minimis atbalstam zvejniecības un akvakultūras nozarē (ES Oficiālais Vēstnesis, 2014. gada 28. jūnijs, Nr. L 190)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(ES) Nr. 1408/2013 par Līguma par ES darbību 107. un 108. panta piemērošanu de minimis atbalstam lauksaimniecības nozarē (ES Oficiālais Vēstnesis, 2013. gada 24. decembris, Nr. L 352)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3a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 Labklājības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https://tapportals.mk.gov.lv/public_participation/37edfd20-936b-444c-9bf6-eac7980615c5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24-TA-2095</w:t>
    </w:r>
    <w:r>
      <w:br/>
    </w:r>
    <w:r w:rsidR="00000000" w:rsidRPr="00000000" w:rsidDel="00000000">
      <w:rPr>
        <w:rtl w:val="0"/>
      </w:rPr>
      <w:t xml:space="preserve">Izdrukāts 29.07.2026. 22.07 - 2.0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24-TA-2095</w:t>
    </w:r>
    <w:r>
      <w:br/>
    </w:r>
    <w:r w:rsidR="00000000" w:rsidRPr="00000000" w:rsidDel="00000000">
      <w:rPr>
        <w:rtl w:val="0"/>
      </w:rPr>
      <w:t xml:space="preserve">Izdrukāts 29.07.2026. 22.07 - 2.0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anotācija_(ex_ante)_24-TA-2095.docx</dc:title>
</cp:coreProperties>
</file>

<file path=docProps/custom.xml><?xml version="1.0" encoding="utf-8"?>
<Properties xmlns="http://schemas.openxmlformats.org/officeDocument/2006/custom-properties" xmlns:vt="http://schemas.openxmlformats.org/officeDocument/2006/docPropsVTypes"/>
</file>