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2021.-2027.gada plānošanas perioda vadības likuma 19. panta 6.un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Jaunuzņēmumu darbības atbalsta likuma 7.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pamatnostādnes 2021.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paaugstināt inovatīvo komersantu īpatsvaru ekonomikā, sekmēt uzņēmējdarbību ar augstu pievienoto vērtību vidēji augsto un augsto tehnoloģiju jomā, kā arī veicināt eksporta pieaugumu, vienlaikus sniegt ieguldījumu Latvijas Viedās specializācijas stratēģijas mērķu sasniegšanā.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specifiskā atbalsta mērķa “Veicināt ilgtspējīgu izaugsmi, konkurētspēju un darba vietu radīšanu MVU, tostarp ar produktīvām investīcijām” 1.2.3.1. pasākums "Atbalsts inovatīvas uzņēmējdarbības attīstībai" ietilpst Eiropas Savienības kohēzijas politikas programmas 2021.–2027. gadam 1. politikas mērķī “Konkurētspējīgāka un viedāka Eiropa, veicinot inovatīvas un viedas ekonomiskās pārmaiņas un reģionālo IKT savienojamību”. 1. politikas mērķa galvenajām komponentēm – digitālajai un inovācijas komponentēm – ir izšķiroša nozīme ilgtspējīgas un iekļaujošas sabiedrības pārveidē uz sociālāku un konkurētspējīgāku ekonomiku. Noteikumu projekts sniegs ieguldījumu Nacionālās industriālās politikas pamatnostādnēs 2021.-2027. gadam (turpmāk – NIP) noteikto mērķu un Latvijas Viedās specializācijas stratēģijā (turpmāk – RIS3) noteikto mērķu sasniegšanā, jo Noteikumu projektā paredzētās aktivitātes vērstas, lai sekmētu jaunu produktu izstrādi un privāto ieguldījumu pieaugumu pētniecībā un attīstībā, kā arī lai sekmētu jaunu ārvalstu tirgu apgūšanu.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Eiropas Savienības (turpmāk – ES) finansējums tiek ieguldīts efektīvi un to, lai uzņēmēji saņem pēc iespējas fokusētāku un mērķētāku atbalstu konkrētam uzņēmējdarbības attīstības posmam, 1.2.3.1. pasākums "Atbalsts inovatīvas uzņēmējdarbības attīstībai" (turpmāk – 1.2.3.1. pasākums) </w:t>
      </w:r>
      <w:r w:rsidR="00000000" w:rsidRPr="00000000" w:rsidDel="00000000">
        <w:rPr>
          <w:b w:val="1"/>
          <w:rtl w:val="0"/>
        </w:rPr>
        <w:t xml:space="preserve">ietvers 4 aktivitātes</w:t>
      </w:r>
      <w:r w:rsidR="00000000" w:rsidRPr="00000000" w:rsidDel="00000000">
        <w:rPr>
          <w:rtl w:val="0"/>
        </w:rPr>
        <w:t xml:space="preserve">, pārņemot un turpinot labāko praksi no Eiropas Savienības fondu 2014.-2020. gada plānošanas perioda attiecīgām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atbalsts inovācijas un uzņēmējdarbības motivācijai</w:t>
      </w:r>
      <w:r w:rsidR="00000000" w:rsidRPr="00000000" w:rsidDel="00000000">
        <w:rPr>
          <w:rtl w:val="0"/>
        </w:rPr>
        <w:t xml:space="preserve"> (1.2.2.2. pasākums „Inovāciju motivācijas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atbalsts jaunu produktu un tehnoloģiju izstrādei un komercializācijai</w:t>
      </w:r>
      <w:r w:rsidR="00000000" w:rsidRPr="00000000" w:rsidDel="00000000">
        <w:rPr>
          <w:rtl w:val="0"/>
        </w:rPr>
        <w:t xml:space="preserve"> (1.2.1.2. pasākums “Atbalsts tehnoloģiju pārneses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atbalsts biznesa inkubācijai</w:t>
      </w:r>
      <w:r w:rsidR="00000000" w:rsidRPr="00000000" w:rsidDel="00000000">
        <w:rPr>
          <w:rtl w:val="0"/>
        </w:rPr>
        <w:t xml:space="preserve"> (3.1.1.6. pasākums „Reģionālie biznesa inkubatori un radošo industriju inkubators”);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atbalsts eksporta veicināšanai un jaunu tirgu apgūšanai </w:t>
      </w:r>
      <w:r w:rsidR="00000000" w:rsidRPr="00000000" w:rsidDel="00000000">
        <w:rPr>
          <w:rtl w:val="0"/>
        </w:rPr>
        <w:t xml:space="preserve">(3.2.1.2. pasākums „Starptautiskās konkurētspējas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1.2.3.1.pasākuma mērķa grupa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Uzņēmumu reģistra komercreģistrā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Regula Nr. 651/2014) 2.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potenciālais uzņēmējdarbības uzsācējs, pašnodarbinātā persona un fiziska persona (biznesa idejas autors, biznesa līderis, mācību uzņēmuma dibinātājs, jaunuzņēmuma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veids finansējuma saņemšanai ir </w:t>
      </w:r>
      <w:r w:rsidR="00000000" w:rsidRPr="00000000" w:rsidDel="00000000">
        <w:rPr>
          <w:b w:val="1"/>
          <w:rtl w:val="0"/>
        </w:rPr>
        <w:t xml:space="preserve">ierobežota projektu iesniegumu atlase, kurā finansējuma saņēmējs būs Latvijas investīciju un attīstības aģentūra</w:t>
      </w:r>
      <w:r w:rsidR="00000000" w:rsidRPr="00000000" w:rsidDel="00000000">
        <w:rPr>
          <w:rtl w:val="0"/>
        </w:rPr>
        <w:t xml:space="preserve"> – valsts tiešās pārvaldes iestāde, kuras darbības mērķis ir sekmēt Latvijas uzņēmumu konkurētspēju un eksportspēju starptautiskajos tirgos, veicināt zināšanu ietilpīgu preču un pakalpojumu attīstību un eksportu, veicināt ārvalstu investīciju apjoma pieaugumu, īstenot tūrisma attīstības valsts politiku un valsts politiku inovāciju jomā un veicināt Latvijas pozitīvu starptautisko atpazīstamību.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pasākuma ietvaros pieejamais kopējais attiecināmais finansējums ir 101 250 000 euro, tai skaitā Eiropas Reģionālā attīstības fonda (turpmāk – ERAF) finansējums 86 062 500 euro un valsts budžeta finansējums – 15 187 500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2021.–2027. gada plānošanas perioda darbības programmā noteiktas ERAF finansējuma sadalījums pa intervences kodiem, atbilstoši Noteikumu projektā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24. intervences kods</w:t>
      </w:r>
      <w:r w:rsidR="00000000" w:rsidRPr="00000000" w:rsidDel="00000000">
        <w:rPr>
          <w:rtl w:val="0"/>
        </w:rPr>
        <w:t xml:space="preserve"> (Uzlaboti atbalsta pakalpojumi MVU un MVU grupām (tostarp vadības, tirgvedības, dizaina pakalpojumi)) </w:t>
      </w:r>
      <w:r w:rsidR="00000000" w:rsidRPr="00000000" w:rsidDel="00000000">
        <w:rPr>
          <w:b w:val="1"/>
          <w:rtl w:val="0"/>
        </w:rPr>
        <w:t xml:space="preserve">4 250 000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25. intervences kods</w:t>
      </w:r>
      <w:r w:rsidR="00000000" w:rsidRPr="00000000" w:rsidDel="00000000">
        <w:rPr>
          <w:rtl w:val="0"/>
        </w:rPr>
        <w:t xml:space="preserve"> (Inkubācija, atbalsts jaunu uzņēmumu izdalīšanai no jau esošiem uzņēmumiem, jaunu uzņēmumu atdalīšanai no jau esošiem uzņēmumiem un jaunuzņēmumiem) </w:t>
      </w:r>
      <w:r w:rsidR="00000000" w:rsidRPr="00000000" w:rsidDel="00000000">
        <w:rPr>
          <w:b w:val="1"/>
          <w:rtl w:val="0"/>
        </w:rPr>
        <w:t xml:space="preserve">33 447 500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10. intervences kods</w:t>
      </w:r>
      <w:r w:rsidR="00000000" w:rsidRPr="00000000" w:rsidDel="00000000">
        <w:rPr>
          <w:rtl w:val="0"/>
        </w:rPr>
        <w:t xml:space="preserve"> (Mazo un vidējo uzņēmumu pētniecības un inovācijas darbības, tostarp tīklošana) </w:t>
      </w:r>
      <w:r w:rsidR="00000000" w:rsidRPr="00000000" w:rsidDel="00000000">
        <w:rPr>
          <w:b w:val="1"/>
          <w:rtl w:val="0"/>
        </w:rPr>
        <w:t xml:space="preserve">22 865 000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b w:val="1"/>
          <w:rtl w:val="0"/>
        </w:rPr>
        <w:t xml:space="preserve">21. intervences kods</w:t>
      </w:r>
      <w:r w:rsidR="00000000" w:rsidRPr="00000000" w:rsidDel="00000000">
        <w:rPr>
          <w:rtl w:val="0"/>
        </w:rPr>
        <w:t xml:space="preserve"> (MVU uzņēmējdarbības attīstība un internacionalizācija) </w:t>
      </w:r>
      <w:r w:rsidR="00000000" w:rsidRPr="00000000" w:rsidDel="00000000">
        <w:rPr>
          <w:b w:val="1"/>
          <w:rtl w:val="0"/>
        </w:rPr>
        <w:t xml:space="preserve">25 500 000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53. panta 2. punktu, </w:t>
      </w:r>
      <w:r w:rsidR="00000000" w:rsidRPr="00000000" w:rsidDel="00000000">
        <w:rPr>
          <w:b w:val="1"/>
          <w:rtl w:val="0"/>
        </w:rPr>
        <w:t xml:space="preserve">darbības vai projekti, kas ir daļa no darbības, kuri saņem atbalstu no KF, ERAF vai ESF+ un kuru kopējās izmaksas nepārsniedz 200 000 EUR, visas izmaksas  tiek segtas ar vienu vienību, fiksētās summas maksājumu vai vienoto likmju veidā, izņemot darbības, kurām atbalsts kvalificējams kā komercdarbības (izņemot de minimis) atbalsts. </w:t>
      </w:r>
      <w:r w:rsidR="00000000" w:rsidRPr="00000000" w:rsidDel="00000000">
        <w:rPr>
          <w:rtl w:val="0"/>
        </w:rPr>
        <w:t xml:space="preserve">Līdz ar to, lai mazinātu finansējuma saņēmēja administratīvo slogu kontekstā ar gala labuma guvēju maksājumu dokumentācijas pārbaudēm,  Ekonomikas ministrija kā atbildīgā iestāde izstrādās vienkāršoto izmaksu metodikas atbilstoši Noteikumu projektā norādītajām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Latvijas P&amp;I sistēma laika periodā no 2014.–2020. gadam ir būtiski palielinājusi efektivitāti un produktivitāti, Latvijas  pētniecības un attīstības (turpmāk – P&amp;A) izaugsmes temps joprojām ir nepietiekams straujai viedai izaugsmei, un tas tiešā veidā ir saistīts ar zemajiem pētniecības, attīstības un inovāciju (turpmāk – P&amp;A&amp;I) ieguldījumiem. 2020. gadā kopējie ieguldījumi P&amp;A bija vien 0,7 % no IKP, un ir skaidrs, ka bez papildus stimuliem, saglabājoties šādam publiskā un privātā (uzņēmumu) sektora ieguldījumu īpatsvaram P&amp;A, straujš kāpums tuvākajos gados nav sagaidāms. Turklāt, jāatzīmē, ka Latvijas uzņēmējdarbību raksturo zemas pievienotās vērtības produktu liels īpatsvars, augsta resursu intensitāte un  sadarbības un integrācijas trūkumu globālajās vērtību ķēdēs. Arī inovatīvo mazo un vidējo uzņēmumu īpatsvars Latvijā ir viens no zemākajiem ES – 32,9 % (2016.–2018.g.), salīdzinot ar vidēji 49,1 % ES. Latvijas uzņēmumiem ir nepietiekami attīstīta nozaru un starpnozaru savstarpējā sadarbība, īpaši sadarbība ar pētniecības, eksperimentālās izstrādes, pilotēšanas un demonstrācijas institūcijām un izglītības iestādēm, piesaistot studējošos un mācībspēkus inovāciju attīstīšanai Latvijā un ārvalstīs, tāpat novērojama vāja pētījumu rezultātu komercializācijas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Ierobežotais eksportspējīgo uzņēmumu skaits, kā arī lielais mikro un mazo uzņēmumu īpatsvars ekonomikā nestimulē virzību uz zināšanās un inovācijā balstītu produktu un pakalpojumu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nodokļu parādi parasti rodas jauniem komersantiem, kuriem ir lieli apgrozījumi salīdzinoši agrā attīstības stadijā, kad vēl nav skaidra finanšu plūsma, kā arī komersantiem, kas attīsta jaunus produktus un tehnoloģijas, kuru izstrādei būtiskas dažādas izejvielu piegādes no sadarbības partneriem, ko joprojām ietekmē COVID-19 pandēmijas laikā radītie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adresētu galvenos konkurētspējas izaicinājumus – zemi produktivitātes rādītāji, zemas pievienotās vērtības produkti un ar to saistītais zemais privāto investīciju P&amp;A īpatsvars, zems inovatīvo uzņēmumu īpatsvars, sadarbības un integrācijas trūkums globālajās vērtības ķēdēs – konkurētspējas priekšrocības būtu balstāmas uz inovāciju, tehnoloģiskajiem faktoriem un uzlabojumiem ražošanas produktivitātē. Turklāt, Latvijas ekonomikas attīstība un izaugsme lielā mērā ir saistīta ar iespējām iekļūt eksporta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fokusējot valsts intervenci tieši RIS3 prioritārajās jomās un pēc iespējas novēršot pastāvošās tirgus nepilnības finansējuma pieejamībā, t.sk. reģionos, kas bremzē P&amp;A&amp;I attīstību, jaunu uzņēmumu izveidi un uzņēmumu ieiešanu jaunos ārvalstu tirgos, tiks: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veicināta jaunu tehnoloģiski intensīvu uzņēmumu rašanās, motivējot tos radīt un attīstīt produktus, tehnoloģijas ar augstu pievienoto vērtību </w:t>
      </w:r>
      <w:r w:rsidR="00000000" w:rsidRPr="00000000" w:rsidDel="00000000">
        <w:rPr>
          <w:rtl w:val="0"/>
        </w:rPr>
        <w:t xml:space="preserve">(nefinansiāls atbalsts uzņēmumiem, potenciāliem uzņēmējdarbības uzsācējiem, pašnodarbinātām personām un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pasākuma ietvaros uzņēmēji tiks iedrošināti uzsākt inovatīvu  uzņēmējdarbību vai pievērsties inovatīvu risinājumu izstrādei un lietošanai. Īstenojot minēto atbalsta aktivitāti, plānots paaugstināt inovatīvo komersantu īpatsvaru ekonomikā un sekmēt komercdarbību atbilstoši Latvijas RIS3 noteiktajām specializācijas prioritātēm vai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nodrošināta jaunradītu tehnoloģiski intensīvu un radošo industriju uzņēmumu inkubācija, akcentējot P&amp;A&amp;I komponenti </w:t>
      </w:r>
      <w:r w:rsidR="00000000" w:rsidRPr="00000000" w:rsidDel="00000000">
        <w:rPr>
          <w:rtl w:val="0"/>
        </w:rPr>
        <w:t xml:space="preserve">(atbalsts grantu veidā, nefinansiāls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pasākuma ietvaros tiks nodrošināta vienlīdz kvalitatīva inkubācijas vide visos Latvijas reģionos, ņemot vērā labāko uzņēmējdarbības uzsākšanas atbalsta pieredzi un pieejamo infrastruktūru reģionos, kā arī tiks veicināta pašvaldību, plānošanas reģionu, augstākās izglītības iestāžu un vietējo komersantu sadarbība atbalsta sniegšanā uzņēmējdarbības uzsākšanai un reģionu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stiprināta un pilnveidota zināšanu pārneses sistēma, t.sk. reģionālā līmenī, kuras galvenais mērķis ir pētniecības un uzņēmējdarbības sektora ciešāka sadarbības veidošana un uzturēšana, lai sekmētu pētniecības ideju komercializāciju</w:t>
      </w:r>
      <w:r w:rsidR="00000000" w:rsidRPr="00000000" w:rsidDel="00000000">
        <w:rPr>
          <w:rtl w:val="0"/>
        </w:rPr>
        <w:t xml:space="preserve"> (atbalsts grantu veidā, nefinansiāls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pasākuma ietvaros tiks veicināta inovācijas aktivitāte sīkajos (mikro), mazajos un vidējos komersantos, tehnoloģiju pārneses ceļā sniedzot tiem atbalstu jaunu vai būtiski uzlabotu produktu vai tehnoloģiju izstrādei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nodrošināta uz inovācijām un zināšanām balstītu eksportspējīgu produktu un pakalpojumu radīšana, un nodrošināta piekļuve ārvalstu tirgiem </w:t>
      </w:r>
      <w:r w:rsidR="00000000" w:rsidRPr="00000000" w:rsidDel="00000000">
        <w:rPr>
          <w:rtl w:val="0"/>
        </w:rPr>
        <w:t xml:space="preserve">(atbalsts grantu veidā, nefinansiāls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pasākuma ietvaros tiks veicināta nozaru starptautiskā konkurētspēja, atbalstot ieiešanu ārvalstu tirgos un nodrošinot Latvijas ārvalstu ekonomisko pārstāvniecību efektīvu un uz rezultātu vērstu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komersantiem, kuru darbību ietekmējusi COVID-19 un ļautu pārvarēt radušās grūtības, un nodrošinātu iespēju tiem turpināt attīstīties, nepieciešams līdzsvarot situāciju un sekmēt ekonomikas izaugsmi ar dažādiem stimuliem, lai netiktu pārtraukta atbalsta sniegšana, konstatējot nodokļu parādu. Līdz ar to, lai sekmētu inovatīvas uzņēmējdarbības uzsākšanu vai attīstību, Valsts ieņēmumu dienesta nodokļu parāda esošais pieļaujamais slieksnis 150 euro apmērā būtu paaugstināms līdz nodokļu parāda slieksnim 1000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Skat.1.3.sadaļu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potenciālos uzņēmējdarbības uzsācējus, pašnodarbinātas personas un fiziskas personas (biznesa idejas autorus, biznesa līderus, mācību uzņēmuma dibinātājus, jaunuzņēmuma dibinātājus), jo sniedz iespēju uzsākt vai arī attīstīt inovatīvu uzņēmējdarbību.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uzņēmējus, jo sniegs iespēju izstrādāt un attīstīt jaunus produktus, tehnoloģijas, kā arī sniegs iespēju apgūt jaunus ārvalstu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netiešā veidā Noteikumu projekts ietekmēs arī pētniecības organizācijas, pašvaldības, jo sniegs iespēju stiprināt sadarbību starp uzņēmējiem, tādējādi sekmējot inovāciju ekosistēmu un attīstību, tai skaitā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pozitīva ietekme uz uzņēmējdarbības un inovāciju nozari un mikro, mazajiem un vidējiem komersantiem, kas attīsta jaunus produktus un inovatīvus risinājumus, kā arī pētniecības organizācijām, kas ir komercializācijas projektu īstenotājas – tiks nodrošināti labvēlīgi nosacījumi kvalitatīvai inovāciju un tehnoloģiju ieviešanai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ieguldījumu NIP un RIS3 mērķu sasniegšanā, kas attiecīgi veicinās eksporta pieaugumu, privāto ieguldījumu P&amp;A apjoma pieaugumu un kopumā tautsaimniecības transformāciju uz augstāku pievienoto vērtību, produktivitāti un efektīvāku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 konkurētspēju, īpaši, ja tie darbojas un/vai attīsta produktus, tehnoloģijas un pakalpojumus kādā no RIS3 specializācijas jomām.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vienlīdzīga pieeja, mazināta konkurences kropļošana, kā arī sekmēta jaunu produktu, tehnoloģiju un pakalpojumu izstrāde un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MVU, jo sniegs iespēju izstrādāt un attīstīt jaunus produktus, tehnoloģijas, kā arī sniegs iespēju apgūt jaunus ārvalstu tirgus.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Periodā no 2017. gada līdz 2021. gada beigām biznesa inkubatoru dalībnieki izveidojuši 2034 darba vietas (pilnas slodzes ekvivalents). Balstoties uz esošo praksi, katrs atbalstītais komersants izveido vismaz divas jaunas darba vietas, līdz ar to paredzams, ka Noteikumu projekta ietvaros plānotā biznesa inkubācijas aktivitāte varētu radīt pozitīvu ietekmi uz nodarbinātību, īpaši kontekstā ar reģionu attīstību, radot vidēji 450 jaunas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13 933 928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13 933 928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13 933 928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13 933 928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2 892 857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16 392 857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16 392 857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2 892 857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16 392 857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16 392 857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-433 929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-2 458 929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1.2.3.1. pasākuma ietvaros pieejamais kopējais attiecināmais finansējums ir 101 250 000 euro, tai skaitā ERAF finansējums 86 062 500 euro un valsts budžeta finansējums – 15 187 500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 – 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 – 2892857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16392857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16392857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20226.g. – 16392857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16392857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16392857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16392857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jaunā periodā 2021.-2027. gadam tiks saglabāta līdzšinējā prakse attiecībā uz reģionālo inkubatoru pārklājumu. Lai to nodrošinātu, plānoti 22 biznesa inkubatori visā Latvijā, tai skaitā viens radošo industriju inkubators Rīgā, viens tehnoloģiju biznesa inkubators Rīgā (ar palielinātu kapacitāti) un 20 reģionālie biznesa inkubatori.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Veiksmīgas biznesa inkubatoru tīkla darbības nodrošināšanai nepieciešamas 79 amata vietas,</w:t>
            </w:r>
            <w:r w:rsidR="00000000" w:rsidRPr="00000000" w:rsidDel="00000000">
              <w:rPr>
                <w:sz w:val="24"/>
                <w:b w:val="1"/>
                <w:rtl w:val="0"/>
              </w:rPr>
              <w:t xml:space="preserve"> līdz ar to salīdzinot ar esošo ES Fondu plānošanas periodu 2014.-2020. gadam amata vietu skaits attiecībā uz biznesa inkubācijas aktivitāti plānots palielināt par 19 amata vietām (19,3 slodzēm), pārējās aktivitātēs amata vietu skaits paliek nemainīgs salīdzinājumā ar esošo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1.2.3.1. pasākuma MK noteikumu projekta 5. punktā minēto aktivitāšu nodrošināšanai tiek plānotas 146 amatu vietas, tas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inovācijas un uzņēmējdarbības motivācijai – 5 amatu vietas (jaunas vietas salīdzinot ar iepriekšējo periodu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jaunu produktu un tehnoloģiju izstrādei un komercializācijai – 42 amatu vietas (jaunas vietas salīdzinot ar iepriekšējo periodu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biznesa inkubācijai – 79 amatu vietas (plānotas 19 jaunas vietas salīdzinot ar iepriekšējo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atbalsts eksporta veicināšanai un jaunu tirgu apgūšanai – 20 amatu vietas (jaunas vietas salīdzinot ar iepriekšējo periodu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2023.gada 31.decembrim tiks nodrošināta šādu LIAA programmu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"Reģionālie biznesa inkubatori un radošo industriju inkubators" aktivitāšu īstenošana atbilstoši 2016.gada 5.oktobrī noslēgtajai vienošanās Nr. 3.1.1.6/16/I/001 ar Centrālo un finanšu līguma aģentūru, nodrošinot pirmsinkubācijas un inkubācijas atbalstu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“Starptautiskās konkurētspējas veicināšana” aktivitāšu īstenošana atbilstoši 2016.gada 14.martā noslēgtajai vienošanās Nr. 3.2.1.2/16/I/001 ar Centrālo un finanšu līguma aģentūru, nodrošinot komersantu ieiešanu ārvalstu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“Inovāciju motivācijas programma” aktivitāšu īstenošana atbilstoši 2016. gada 14. novembrī noslēgtajai vienošanās Nr.1.2.2.2./16/I/001 ar Centrālo un finanšu līguma aģentūru, nodrošinot izglītojošu pasākumu īstenošanu, lai veicinātu inovatīvas uzņēmējdarbības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“Tehnoloģiju pārneses programma” aktivitāšu īstenošana atbilstoši 2016.gada 29.decembra noslēgtajai vienošanās Nr.1.2.1.2./16/I/001 ar Centrālo un finanšu līguma aģentūru, nodrošinot inovāciju vaučeru atbalsta un pētniecības projektu komercializācijas atbalsta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Lai nodrošinātu finansējuma nepārtrauktību un sniegtu iespēju komersantiem saņemt nepieciešamo atbalstu uzņēmējdarbības attīstībai, plānots, ka jaunā plānošanas perioda aktivitātes motivācijas, eksporta, inkubācijas un tehnoloģiju pārneses atbalstam tiks uzsāktas 2023.gada otrajā pusgadā, nodalot aktivitātes un personālu no esošā plānošanas perioda darbībām.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iesniegumu atbalsta saņemšanai var iesniegt sīkie (mikro), mazie un vidējie komersanti atbilstoši Komisijas regulas Nr. 651/2014 2. panta 2. punktam, kā arī atbilstoši minētās regulas nosacījumiem tiek noteiktas atbalstāmās darbības, pieļaujamās līdzfinansējuma likmes un izmantojamie termini jaunu produktu, tehnoloģiju un pakalpojumu izstrādē un attīstībā, un tiek noteiktas tās nozares un darbības, kurām finansējuma saņēmējs atbalstu nepiešķir.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Regula (ES) Nr. 1407/2013 par Līguma par Eiropas Savienības darbību 107. un 108.panta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 1407/2013 3. panta 2. punkta nosacījumiem kopējais de minimis atbalsts, ko viena dalībvalsts piešķīrusi vienam vienotam uzņēmumam, jebkurā triju fiskālo gadu periodā nepārsniedz 200 000 euro, kā arī tiek noteiktas tās nozares un darbības, kurām finansējuma saņēmējs atbalstu nepiešķir.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21. marta Regula (ES) Nr. 316/2014 par Līguma par Eiropas Savienības darbību 101. panta 3. punkta piemērošanu tehnoloģiju nodošanas nolīgumu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regulā Nr. 316/2014 ietvertajām definīcijām tiek noteiktas tehnoloģiju nodošanas līguma kategorijas un citas intelektuālā īpašuma tiesības, kas piemērojamas produktu vai tehnoloģiju komercializācijas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regulējumam tiek noteikts projekta īstenošanā izmantojamās vienotās likmes finansējums netiešajām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2021/1058 regulējam tiek noteiktas tās nozares un darbības, kurām finansējuma saņēmējs atbalstu nepiešķir.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punkta “c”, “d”, “e” apakšpunkts; 5.punkts un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pants, 28.pants un 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25.panta 5.punkta “b”, “c”, “d” apakšpunkts; 6.punkta “a” apakšpunkts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25.panta 3. 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28.panta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Regula (ES) Nr. 1407/2013 par Līguma par Eiropas Savienības darbību 107. un 108.panta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69. un 70.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72. un 74.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5.panta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21. marta Regula (ES) Nr. 316/2014 par Līguma par Eiropas Savienības darbību 101. panta 3. punkta piemērošanu tehnoloģiju nodošanas nolīgumu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316/2014 1.panta “i”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54.panta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2021/1058 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77. un 96.punkts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ieguldījumu šādu NAP 2027 mērķa indikatoru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īpatsvars pētniecībai un attīstībai (%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Zināšanu un tehnoloģiju izlaide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Eksporta vienības vērtība (SITC 5–8), 5 gadu slīdošais vidējais pieauguma temps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pozītīvi ietekmēs reģionu attīstību, īpaši attiecībā uz MVU izaugsmi un attīstību, jo sniegs iespēju izstrādāt un attīstīt jaunus produktus, tehnoloģijas, kā arī sniegs iespēju apgūt jaunus ārvalstu tirgus.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22-TA-1353</w:t>
    </w:r>
    <w:r>
      <w:br/>
    </w:r>
    <w:r w:rsidR="00000000" w:rsidRPr="00000000" w:rsidDel="00000000">
      <w:rPr>
        <w:rtl w:val="0"/>
      </w:rPr>
      <w:t xml:space="preserve">Izdrukāts 29.07.2026. 21.51 - 1.0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22-TA-1353</w:t>
    </w:r>
    <w:r>
      <w:br/>
    </w:r>
    <w:r w:rsidR="00000000" w:rsidRPr="00000000" w:rsidDel="00000000">
      <w:rPr>
        <w:rtl w:val="0"/>
      </w:rPr>
      <w:t xml:space="preserve">Izdrukāts 29.07.2026. 21.51 - 1.0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anotācija_(ex_ante)_22-TA-1353.docx</dc:title>
</cp:coreProperties>
</file>

<file path=docProps/custom.xml><?xml version="1.0" encoding="utf-8"?>
<Properties xmlns="http://schemas.openxmlformats.org/officeDocument/2006/custom-properties" xmlns:vt="http://schemas.openxmlformats.org/officeDocument/2006/docPropsVTypes"/>
</file>