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576 "Būvniecības valsts kontroles biroja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17. decembra rīkojumam Nr. 1191 “Par Vides pārraudzības valsts biroja un Būvniecības valsts kontroles biroja reorganizāciju” (turpmāk - Rīkojums) no 2025. gada 1. februāra Būvniecības valsts kontroles biroja (turpmāk - Birojs) funkcijas enerģētikas jomā (izņemot informācijas sistēmu uzturēšanas funkcijas) pilda Enerģētikas un vides aģentūra (turpmāk – Aģentūra), tādēļ nepieciešami grozījumi Ministru kabineta 2014. gada 30. septembra noteikumos Nr. 576 "Būvniecības valsts kontroles biroja nolikums” (turpmāk - Biroja nolikums), precizējot Biroja kompetenci.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Biroja nolikumā noteikt Biroja kompetenci, kas mainījusies pēc Biroja reorganizācijas, enerģētikas jomas funkcijas nododot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ar 2025. gada 1. februāri reorganizēts Vides pārraudzības valsts birojs un Birojs, nododot Vides pārraudzības birojam Biroja valsts pārvaldes uzdevumus enerģētikas politikas administrēšanas jomā. No 2025. gada 1. februāra Vides pārraudzības valsts biroja nosaukums ir Enerģētikas un vides aģentūra. Atbilstoši Rīkojuma 2.2. apakšpunktam Aģentūra ir Biroja funkciju (izņemot enerģētikas politikas administrēšanas informācijas tehnoloģiju sistēmu – Aizsargāto lietotāju datu informācijas sistēmas, Energoresursu izmaksu kompensācijas informācijas sistēmas, Energoresursu informācijas sistēmas un Elektroenerģijas obligātā iepirkuma uzraudzības informācijas sistēmas – uzturēšanas funkciju), uzdevumu, tiesību, saistību, resursu, mantas, finanšu līdzekļu pārņēmēja. Tādēļ nepieciešams veikt atbilstošus grozījumus Biroja nolikumā, precizējot Biroja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Biroja nolikuma 2. punktā noteikts, ka Biroja darbības mērķis ir atbilstoši normatīvajos aktos noteiktajai kompetencei nodrošināt arī enerģētikas politikas īstenošanu, lai arī minētā funkcija no 2025. gada 1. februāra nodota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Biroja nolikuma 3. punkts ietver atsauci uz normatīvajiem aktiem, kuros noteiktās funkcijas un uzdevumi no 2025. gada 1. februāra nodoti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izteikt Biroja nolikuma 2. un 3. punktu tādā redakcijā, ietverot atbilstošas atsauces uz normatīvajiem aktiem, kas atbilst Biroja kompetencei no 2025. gada 1.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Precizēts atbilstoši Rīkojumam par funkciju nodošanu Aģentūrai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25-TA-1164</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25-TA-1164</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anotācija_(ex_ante)_25-TA-1164.docx</dc:title>
</cp:coreProperties>
</file>

<file path=docProps/custom.xml><?xml version="1.0" encoding="utf-8"?>
<Properties xmlns="http://schemas.openxmlformats.org/officeDocument/2006/custom-properties" xmlns:vt="http://schemas.openxmlformats.org/officeDocument/2006/docPropsVTypes"/>
</file>