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26. septembra noteikumos Nr. 543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26. septembra noteikumos Nr. 543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 (turpmāk – grozījumu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fondu 2021.–2027. gada plānošanas perioda vadības likuma 19. panta 13. punktu, lai nodrošinātu sekmīgu un savlaicīgu Eiropas Savienības fondu līdzekļu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2025. gada 23. janvāra īstenošanas lēmums C(2025) 401, ar kuru groza Īstenošanas lēmumu C(2022) 8712, ar ko programmu "Eiropas Savienības kohēzijas politikas programma 2021.– 2027. gadam" apstiprina Eiropas Reģionālās attīstības fonda, Kohēzijas fonda, Eiropas Sociālā fonda Plus un Taisnīgas pārkārtošanās fonda atbalsta piešķiršanai saskaņā ar mērķi "Investīcijas nodarbinātībai un izaugsmei"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fondu 2021.-2027. gada plānošanas perioda Uzraudzības komitejas lēmumprojektu Nr. 2026/5.2-6/16 "Par Inovācijas laboratorijas rezultātu publicēšanu" (gala redakcija vēl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Valsts kanceleja kā Eiropas Savienības fondu atbildīgā iestāde (turpmāk – atbildīgā iestāde), lai nodrošinātu sekmīgu 1.3.1.2. pasākuma "Inovācijas laboratorija digitalizācijas priekšrocību izmantošanai" (turpmāk – 1.3.1.2. pasākums) īstenošanu, ir izvērtējusi nepieciešamību precizēt Ministru kabineta 2023. gada 26. septembra noteikumu Nr. 543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 (turpmāk – MK noteikumi Nr. 543) 3., 5. un 10. punktu (pasākuma kopējais finansējums), vienlaikus veicot precizējumus arī 22. punktā un 24.4. apakšpunktā, kā arī papildinot tos ar jaunu – 15.3. apakšpunktu (netiešās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mērķis ir precizēt 1.3.1.2. pasākuma kopējā pieejamā finansējuma apjomu, kā arī papildināt to ar netiešo attiecināmo izmaksu iespēju.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543 reglamentē kārtību, kādā īsteno 1.3.1.2. pasākumu, nosakot tā mērķi, plānoto un pieejamo finansējumu un nacionālā līdzfinansējuma likmi, prasības Eiropas Reģionālā attīstības fonda (turpmāk – ERAF) finansējuma saņēmējam, atbalstāmās darbības un attiecināmās izmaksas, kā arī īstenošanas termiņu. Atbildīgās iestādes funkcijas 1.3.1.2. pasākuma ietvaros pilda Valsts kanceleja, savukārt finansējuma saņēmējs ir Valsts kancelejas Valsts pārvaldes politikas departaments. 2024. gada 22. februārī tika noslēgta Vienošanās par Eiropas Savienības fonda projekta īstenošanu Nr. 1.3.1.2/1/23/I/001.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543 3. punkta pašreizējo redakciju pasākumam plānotais kopējais finansējums ir 1 305 002 </w:t>
      </w:r>
      <w:r w:rsidR="00000000" w:rsidRPr="00000000" w:rsidDel="00000000">
        <w:rPr>
          <w:i w:val="1"/>
          <w:rtl w:val="0"/>
        </w:rPr>
        <w:t xml:space="preserve">euro </w:t>
      </w:r>
      <w:r w:rsidR="00000000" w:rsidRPr="00000000" w:rsidDel="00000000">
        <w:rPr>
          <w:rtl w:val="0"/>
        </w:rPr>
        <w:t xml:space="preserve">(no tā elastības finansējums 205 832 </w:t>
      </w:r>
      <w:r w:rsidR="00000000" w:rsidRPr="00000000" w:rsidDel="00000000">
        <w:rPr>
          <w:i w:val="1"/>
          <w:rtl w:val="0"/>
        </w:rPr>
        <w:t xml:space="preserve">euro</w:t>
      </w:r>
      <w:r w:rsidR="00000000" w:rsidRPr="00000000" w:rsidDel="00000000">
        <w:rPr>
          <w:rtl w:val="0"/>
        </w:rPr>
        <w:t xml:space="preserve">), tai skaitā ERAF finansējums 1 109 250 </w:t>
      </w:r>
      <w:r w:rsidR="00000000" w:rsidRPr="00000000" w:rsidDel="00000000">
        <w:rPr>
          <w:i w:val="1"/>
          <w:rtl w:val="0"/>
        </w:rPr>
        <w:t xml:space="preserve">euro </w:t>
      </w:r>
      <w:r w:rsidR="00000000" w:rsidRPr="00000000" w:rsidDel="00000000">
        <w:rPr>
          <w:rtl w:val="0"/>
        </w:rPr>
        <w:t xml:space="preserve">(no tā elastības finansējums 174 956 </w:t>
      </w:r>
      <w:r w:rsidR="00000000" w:rsidRPr="00000000" w:rsidDel="00000000">
        <w:rPr>
          <w:i w:val="1"/>
          <w:rtl w:val="0"/>
        </w:rPr>
        <w:t xml:space="preserve">euro</w:t>
      </w:r>
      <w:r w:rsidR="00000000" w:rsidRPr="00000000" w:rsidDel="00000000">
        <w:rPr>
          <w:rtl w:val="0"/>
        </w:rPr>
        <w:t xml:space="preserve">) un valsts budžeta līdzfinansējums 195 752 </w:t>
      </w:r>
      <w:r w:rsidR="00000000" w:rsidRPr="00000000" w:rsidDel="00000000">
        <w:rPr>
          <w:i w:val="1"/>
          <w:rtl w:val="0"/>
        </w:rPr>
        <w:t xml:space="preserve">euro </w:t>
      </w:r>
      <w:r w:rsidR="00000000" w:rsidRPr="00000000" w:rsidDel="00000000">
        <w:rPr>
          <w:rtl w:val="0"/>
        </w:rPr>
        <w:t xml:space="preserve">(no tā elastības finansējums 30 876 </w:t>
      </w:r>
      <w:r w:rsidR="00000000" w:rsidRPr="00000000" w:rsidDel="00000000">
        <w:rPr>
          <w:i w:val="1"/>
          <w:rtl w:val="0"/>
        </w:rPr>
        <w:t xml:space="preserve">euro</w:t>
      </w:r>
      <w:r w:rsidR="00000000" w:rsidRPr="00000000" w:rsidDel="00000000">
        <w:rPr>
          <w:rtl w:val="0"/>
        </w:rPr>
        <w:t xml:space="preserve">). Bet 10. punkts cita starpā nosaka, ka projekta iesniegumā pasākuma īstenošanai pieejamo finansējumu plāno ne vairāk kā 1 099 170 </w:t>
      </w:r>
      <w:r w:rsidR="00000000" w:rsidRPr="00000000" w:rsidDel="00000000">
        <w:rPr>
          <w:i w:val="1"/>
          <w:rtl w:val="0"/>
        </w:rPr>
        <w:t xml:space="preserve">euro </w:t>
      </w:r>
      <w:r w:rsidR="00000000" w:rsidRPr="00000000" w:rsidDel="00000000">
        <w:rPr>
          <w:rtl w:val="0"/>
        </w:rPr>
        <w:t xml:space="preserve">apmērā, tai skaitā ERAF finansējumu 934 294 </w:t>
      </w:r>
      <w:r w:rsidR="00000000" w:rsidRPr="00000000" w:rsidDel="00000000">
        <w:rPr>
          <w:i w:val="1"/>
          <w:rtl w:val="0"/>
        </w:rPr>
        <w:t xml:space="preserve">euro </w:t>
      </w:r>
      <w:r w:rsidR="00000000" w:rsidRPr="00000000" w:rsidDel="00000000">
        <w:rPr>
          <w:rtl w:val="0"/>
        </w:rPr>
        <w:t xml:space="preserve">apmērā, bet valsts budžeta līdzfinansējumu – 164 876 </w:t>
      </w:r>
      <w:r w:rsidR="00000000" w:rsidRPr="00000000" w:rsidDel="00000000">
        <w:rPr>
          <w:i w:val="1"/>
          <w:rtl w:val="0"/>
        </w:rPr>
        <w:t xml:space="preserve">euro </w:t>
      </w:r>
      <w:r w:rsidR="00000000" w:rsidRPr="00000000" w:rsidDel="00000000">
        <w:rPr>
          <w:rtl w:val="0"/>
        </w:rPr>
        <w:t xml:space="preserve">apmērā. Savukārt 5. punkts paredz, ka atbildīgā iestāde pēc Eiropas Komisijas lēmuma par vidusposma pārskatu var ierosināt no 2026. gada 1. janvāra palielināt saskaņā ar vienošanos par projekta īstenošanu pieejamo finansējumu līdz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 aprīļa Ministru komitejas Eiropas Savienības fondu jautājumos sēdē konceptuāli tika atbalstīts Finanšu ministrijas piedāvātais finansējuma pārdales variants par Eiropas Savienības fondu 2021.–2027. gada plānošanas perioda finansējuma pārcelšanu uz REPOWER EU instrumentu Kundziņsalas </w:t>
      </w:r>
      <w:r w:rsidR="00000000" w:rsidRPr="00000000" w:rsidDel="00000000">
        <w:rPr>
          <w:i w:val="1"/>
          <w:rtl w:val="0"/>
        </w:rPr>
        <w:t xml:space="preserve">Net Zero</w:t>
      </w:r>
      <w:r w:rsidR="00000000" w:rsidRPr="00000000" w:rsidDel="00000000">
        <w:rPr>
          <w:rtl w:val="0"/>
        </w:rPr>
        <w:t xml:space="preserve"> industriālās teritorijas projekta finansēšanai, un 2023. gada 8. maijā par minēto variantu tika panākta vienošanās Koalīcijas sadarbības padomē. Savukārt 2025. gada 23. janvārī Eiropas Komisija pieņēma lēmumu par ES kohēzijas politikas programmas 2021.–2027.gadam grozījumu (Nr. 2)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kohēzijas politikas programmas 2021.–2027. gadam grozījumiem Nr. 2 par 1,31 % tika samazināts Valsts kancelejai pieejamais kopējais ERAF finansējuma apmērs, kurš tika novirzīts Kundziņsalas </w:t>
      </w:r>
      <w:r w:rsidR="00000000" w:rsidRPr="00000000" w:rsidDel="00000000">
        <w:rPr>
          <w:i w:val="1"/>
          <w:rtl w:val="0"/>
        </w:rPr>
        <w:t xml:space="preserve">Net Zero</w:t>
      </w:r>
      <w:r w:rsidR="00000000" w:rsidRPr="00000000" w:rsidDel="00000000">
        <w:rPr>
          <w:rtl w:val="0"/>
        </w:rPr>
        <w:t xml:space="preserve"> industriālās teritorijas projekta finansēšanai. No 1.3.1.2. pasākumam sākotnēji plānotā elastības finansējuma tika pārdalīti 17 034 </w:t>
      </w:r>
      <w:r w:rsidR="00000000" w:rsidRPr="00000000" w:rsidDel="00000000">
        <w:rPr>
          <w:i w:val="1"/>
          <w:rtl w:val="0"/>
        </w:rPr>
        <w:t xml:space="preserve">euro</w:t>
      </w:r>
      <w:r w:rsidR="00000000" w:rsidRPr="00000000" w:rsidDel="00000000">
        <w:rPr>
          <w:rtl w:val="0"/>
        </w:rPr>
        <w:t xml:space="preserve"> (tai skaitā ERAF daļa 14 478 </w:t>
      </w:r>
      <w:r w:rsidR="00000000" w:rsidRPr="00000000" w:rsidDel="00000000">
        <w:rPr>
          <w:i w:val="1"/>
          <w:rtl w:val="0"/>
        </w:rPr>
        <w:t xml:space="preserve">euro</w:t>
      </w:r>
      <w:r w:rsidR="00000000" w:rsidRPr="00000000" w:rsidDel="00000000">
        <w:rPr>
          <w:rtl w:val="0"/>
        </w:rPr>
        <w:t xml:space="preserve"> un valsts budžeta līdzfinansējums 2556 EUR). Tādējādi MK noteikumos Nr. 543 norādītais kopējā pieejamā finansējuma apjoms ir jāsamazina.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MK noteikumus Nr. 543, sākotnēji 1.3.1.2. pasākumam netika plānotas netiešās attiecināmās izmaksas. Ņemot vērā, ka projekta administrēšanu nodrošina tikai viens cilvēks – projekta vadītājs, periodiski atbalsta funkciju nodrošināšanai rodas nepieciešamība piesaistīt arī citus Valsts kancelejas nodarbinātos (juriskonsultu, iepirkumu speciālistu, grāmatvedi, departamenta konsultantu), tomēr atlīdzības izmaksu apjoms ir ierobežots (tiek piemērota vienotā likme līdz 20 % apmērā no projekta tiešajām attiecināmajām īstenošanas izmaksām, kas nenodrošina projekta vadītāja un atbalsta funkciju veicēju atlīdzību līdz projekta termiņa beigām, ņemot vērā salīdzinoši nelielo finansējuma apjomu un ilgo projekta ieviešanas periodu). Līdz ar to projekta mērķu sasniegšanai un efektīvai finansējuma izmantošanai ir nepieciešams paredzēt arī netiešās attiecināmās izmaksas, tādējādi nodrošinot projekta vadītāja, kā arī atbalsta funkciju veicēju atlīdzību līdz projekta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20.05.2026. vēstuli Nr. 5.1-24/21/1416 par Inovācijas laboratorijas darbības rezultātu publicēšanu un investīciju efektivitātes nodrošināšanu, kā arī Eiropas Savienības fondu 2021.-2027. gada plānošanas perioda Uzraudzības komitejas lēmumprojektu Nr. 2026/5.2-6/16 "Par Inovācijas laboratorijas rezultātu publicēšanu", MK noteikumu Nr. 543 22. punkts ir jāpapildina ar normu, kas nostiprinātu pienākumu publiskot visu Inovācijas laboratorijas sprintu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543 24.4. apakšpunktā ir iekļauta atsauce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prasība finansējuma saņēmējam parakstīt interešu konflikta neesības apliecinājumu. Tā kā šis regulējums ir tieši piemērojams t. s. daudzpakāpju projektiem, bet 1.3.1.2. pasākuma projekts tāds nav, šāda prasība un atsauce uz Regulas 61. pantu nav pamatota.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Komisijas 2025. gada 23. janvāra īstenošanas lēmumu C(2025) 401, ar kuru groza Īstenošanas lēmumu C(2022) 8712, ar ko programmu "Eiropas Savienības kohēzijas politikas programma 2021.–2027. gadam" apstiprina Eiropas Reģionālās attīstības fonda, Kohēzijas fonda, Eiropas Sociālā fonda Plus un Taisnīgas pārkārtošanās fonda atbalsta piešķiršanai saskaņā ar mērķi "Investīcijas nodarbinātībai un izaugsmei" Latvijā, tiek rosināti grozījumi MK noteikumos Nr. 543, samazinot 3. punktā noteikto kopējā pieejamā finansējuma apjomu, kā arī svītrojot informāciju par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kopējais pieejamais finansējums ir 1 287 968 </w:t>
      </w:r>
      <w:r w:rsidR="00000000" w:rsidRPr="00000000" w:rsidDel="00000000">
        <w:rPr>
          <w:i w:val="1"/>
          <w:rtl w:val="0"/>
        </w:rPr>
        <w:t xml:space="preserve">euro</w:t>
      </w:r>
      <w:r w:rsidR="00000000" w:rsidRPr="00000000" w:rsidDel="00000000">
        <w:rPr>
          <w:rtl w:val="0"/>
        </w:rPr>
        <w:t xml:space="preserve">, tai skaitā Eiropas Reģionālās attīstības fonda finansējums 1 094 772 </w:t>
      </w:r>
      <w:r w:rsidR="00000000" w:rsidRPr="00000000" w:rsidDel="00000000">
        <w:rPr>
          <w:i w:val="1"/>
          <w:rtl w:val="0"/>
        </w:rPr>
        <w:t xml:space="preserve">euro </w:t>
      </w:r>
      <w:r w:rsidR="00000000" w:rsidRPr="00000000" w:rsidDel="00000000">
        <w:rPr>
          <w:rtl w:val="0"/>
        </w:rPr>
        <w:t xml:space="preserve">un valsts budžeta līdzfinansējums 193 196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svītrots 5. punkts, ņemot vērā, ka Eiropas Komisijas lēmums par vidusposma pārskatu ir saņemts un Programmā ir veikti attiecīgi grozījumi. Vienlaikus tiek precizēta 10. punkta redakcija, svītrojot otro teikumu, kas noteica 1.3.1.2. pasākuma finansējuma apjomu pirms Eiropas Komisijas lēmuma par vidusposma pārskatu un elastības finansējuma piešķiršanas. Pēc minētā Eiropas Komisijas lēmuma viss pasākuma finansējums tiek pārkvalificēts par pieejamo finansējumu un norādīts 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projekta stāšanās spēkā 1.3.1.2. pasākuma finansējuma sadalījums pa intervences kodiem būs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 Nr. 016 "Valsts pārvaldes IKT risinājumi, e-pakalpojumi, lietotnes " – ERAF finansējums 1 109 250.00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 Nr. 1 "Dotācija" - ERAF finansējums 1 109 250.00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 Nr. 33 "Bez teritoriālā mērķa" - ERAF finansējums 1 109 250.00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 Nr. 09 "Nepiemēro" - ERAF finansējums 1 109 250.00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 Nr. 3 "Dzimumu neitralitāte" - ERAF finansējums 1 109 250.00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MK noteikumi tiek papildināti ar jaunu 15.3. apakšpunktu, kas paredz netiešās attiecināmās izmaksas (izmaksas, kas nav tieši saistītas ar projekta rezultātu sasniegšanu, bet atbalsta un nodrošina atbilstošus apstākļus projekta īstenošanai un projekta rezultātu sasniegšanai). Netiešās attiecināmās izmaksas tiek plānotas 7 procentu apmērā no tiešajām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54.pantam netiešo izmaksu vienoto likmi var piemērot līdz 7 % apmērā no attiecināmajām tiešajām izmaksām vai līdz 15 % apmērā no attiecināmajām tiešajām personāla izmaksām. Savukārt saskaņā ar Vadošās iestādes Vadlīniju par vienkāršoto izmaksu izmantošanas iespējām un to piemērošana Eiropas Savienības kohēzijas politikas programmas 2021.–2027.gadam ietvaros 33. punktu, plānojot netiešo attiecināmo izmaksu procentuālo apmēru, atbildīgā iestāde izvērtē konkrētajam pasākumam piemērotāko vienoto likmi, ņemot vērā tā ietvaros finansēto projektu lielumu, sarežģītību, paredzamo administrēšanas intensitāti, darbietilpību un vienotās likmes piemērošanas ierobežojumus. Šajā gadījumā, balstoties uz minēto izvērtējumu, atbildīgā iestāde secināja, ka projekta mērķu sasniegšanai un profesionālas projekta administrēšanas nodrošināšanai piemērotākā ir likme līdz 7 % apmērā no attiecināmajām 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no tiešo attiecināmo personāla izmaksu 20% vienotās likmes izmaksām tiks nodrošināta projekta vadītāja atlīdzība, savukārt no netiešajām izmaksām tiks segta atbalsta funkciju personāla atlīdzība (piemēram, juriskonsults, iepirkumu speciālists, grāmatvedis, departamenta konsultants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projektam nav ietekmes uz projekta ietvaros apstiprinātajiem izdevumiem, jo likme tiks piemērota tikai tam finansējumam, kas veidosies pēc grozījumu projekta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Nr. 543 22. punkts, uzsverot, ka finansējuma saņēmēja pienākums savā tīmekļvietnē ievietot aktuālo informāciju par projekta īstenošanu ietver arī visu projekta ietvaros organizēto Inovācijas laboratorijas sprintu rezultātu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24.4. apakšpunkta redakcija, svītrojot atsauci uz Regulu un prasību parakstīt interešu konflikta neesības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grozījumiem MK noteikumos Nr. 543, būs nepieciešams veikt grozījumus arī vienošanās par Eiropas Savienības fonda projekta īstenošanu Nr. 1.3.1.2/1/23/I/001, precizējot projekta budžeta kopsavilkumu, finansēšanas plānu, īstenošanas grafiku, darbību aprakstus un nepieciešamības gadījumā citas sadaļas. Vienlaikus jāuzsver, ka grozījumi pozitīvi ietekmēs finansējuma saņēmēja intereses, dodot iespēju palielināt projekta ietvaros sasniedzamos rezultātus un paaugstināt ieguldītā finansējuma atdevi.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252 691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235 925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-44 593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-44 593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grozījumu projektu finansējums tiek samazināts par 17 034 </w:t>
            </w:r>
            <w:r w:rsidR="00000000" w:rsidRPr="00000000" w:rsidDel="00000000">
              <w:rPr>
                <w:sz w:val="24"/>
                <w:i w:val="1"/>
                <w:rtl w:val="0"/>
              </w:rPr>
              <w:t xml:space="preserve">euro</w:t>
            </w:r>
            <w:r w:rsidR="00000000" w:rsidRPr="00000000" w:rsidDel="00000000">
              <w:rPr>
                <w:sz w:val="24"/>
                <w:rtl w:val="0"/>
              </w:rPr>
              <w:t xml:space="preserve"> (tai skaitā ERAF daļa 14 478 </w:t>
            </w:r>
            <w:r w:rsidR="00000000" w:rsidRPr="00000000" w:rsidDel="00000000">
              <w:rPr>
                <w:sz w:val="24"/>
                <w:i w:val="1"/>
                <w:rtl w:val="0"/>
              </w:rPr>
              <w:t xml:space="preserve">euro</w:t>
            </w:r>
            <w:r w:rsidR="00000000" w:rsidRPr="00000000" w:rsidDel="00000000">
              <w:rPr>
                <w:sz w:val="24"/>
                <w:rtl w:val="0"/>
              </w:rPr>
              <w:t xml:space="preserve"> un valsts budžeta līdzfinansējums 2 556 EUR). Līdz ar to pasākumam pieejamais kopējais finansējums ir 1 287 968 </w:t>
            </w:r>
            <w:r w:rsidR="00000000" w:rsidRPr="00000000" w:rsidDel="00000000">
              <w:rPr>
                <w:sz w:val="24"/>
                <w:i w:val="1"/>
                <w:rtl w:val="0"/>
              </w:rPr>
              <w:t xml:space="preserve">euro</w:t>
            </w:r>
            <w:r w:rsidR="00000000" w:rsidRPr="00000000" w:rsidDel="00000000">
              <w:rPr>
                <w:sz w:val="24"/>
                <w:rtl w:val="0"/>
              </w:rPr>
              <w:t xml:space="preserve">, tai skaitā ERAF finansējums – 1 094 772 </w:t>
            </w:r>
            <w:r w:rsidR="00000000" w:rsidRPr="00000000" w:rsidDel="00000000">
              <w:rPr>
                <w:sz w:val="24"/>
                <w:i w:val="1"/>
                <w:rtl w:val="0"/>
              </w:rPr>
              <w:t xml:space="preserve">euro</w:t>
            </w:r>
            <w:r w:rsidR="00000000" w:rsidRPr="00000000" w:rsidDel="00000000">
              <w:rPr>
                <w:sz w:val="24"/>
                <w:rtl w:val="0"/>
              </w:rPr>
              <w:t xml:space="preserve"> un valsts budžeta līdzfinansējums – 193 196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85 procentu apmērā no projekta attiecināmajām izmaksām. Budžeta izdevumi ir kopējie projekta ieviešanai nepieciešamie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ieviešana ir uzsākta 2023. gada 29. novembrī. No projekta uzsākšanas līdz 2025. gada beigām SAMP 1.3.1.2. projekta investīciju izpilde ir 491 543 </w:t>
            </w:r>
            <w:r w:rsidR="00000000" w:rsidRPr="00000000" w:rsidDel="00000000">
              <w:rPr>
                <w:sz w:val="24"/>
                <w:i w:val="1"/>
                <w:rtl w:val="0"/>
              </w:rPr>
              <w:t xml:space="preserve">euro</w:t>
            </w:r>
            <w:r w:rsidR="00000000" w:rsidRPr="00000000" w:rsidDel="00000000">
              <w:rPr>
                <w:sz w:val="24"/>
                <w:rtl w:val="0"/>
              </w:rPr>
              <w:t xml:space="preserve"> (tai skaitā ERAF finansējums 417 812 </w:t>
            </w:r>
            <w:r w:rsidR="00000000" w:rsidRPr="00000000" w:rsidDel="00000000">
              <w:rPr>
                <w:sz w:val="24"/>
                <w:i w:val="1"/>
                <w:rtl w:val="0"/>
              </w:rPr>
              <w:t xml:space="preserve">euro</w:t>
            </w:r>
            <w:r w:rsidR="00000000" w:rsidRPr="00000000" w:rsidDel="00000000">
              <w:rPr>
                <w:sz w:val="24"/>
                <w:rtl w:val="0"/>
              </w:rPr>
              <w:t xml:space="preserve"> un valsts budžeta līdzfinansējums – 73 731 euro). Atlikušā finansējuma sadalījums pa gadiem indikatīvi plānots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 un 2027. gadā – 280 250 </w:t>
            </w:r>
            <w:r w:rsidR="00000000" w:rsidRPr="00000000" w:rsidDel="00000000">
              <w:rPr>
                <w:sz w:val="24"/>
                <w:i w:val="1"/>
                <w:rtl w:val="0"/>
              </w:rPr>
              <w:t xml:space="preserve">euro</w:t>
            </w:r>
            <w:r w:rsidR="00000000" w:rsidRPr="00000000" w:rsidDel="00000000">
              <w:rPr>
                <w:sz w:val="24"/>
                <w:rtl w:val="0"/>
              </w:rPr>
              <w:t xml:space="preserve"> ik gadu, tai skaitā ERAF finansējums 238 213 </w:t>
            </w:r>
            <w:r w:rsidR="00000000" w:rsidRPr="00000000" w:rsidDel="00000000">
              <w:rPr>
                <w:sz w:val="24"/>
                <w:i w:val="1"/>
                <w:rtl w:val="0"/>
              </w:rPr>
              <w:t xml:space="preserve">euro</w:t>
            </w:r>
            <w:r w:rsidR="00000000" w:rsidRPr="00000000" w:rsidDel="00000000">
              <w:rPr>
                <w:sz w:val="24"/>
                <w:rtl w:val="0"/>
              </w:rPr>
              <w:t xml:space="preserve"> un valsts budžeta līdzfinansējums 42 037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 gadā – 235 925 </w:t>
            </w:r>
            <w:r w:rsidR="00000000" w:rsidRPr="00000000" w:rsidDel="00000000">
              <w:rPr>
                <w:sz w:val="24"/>
                <w:i w:val="1"/>
                <w:rtl w:val="0"/>
              </w:rPr>
              <w:t xml:space="preserve">euro</w:t>
            </w:r>
            <w:r w:rsidR="00000000" w:rsidRPr="00000000" w:rsidDel="00000000">
              <w:rPr>
                <w:sz w:val="24"/>
                <w:rtl w:val="0"/>
              </w:rPr>
              <w:t xml:space="preserve">, tai skaitā ERAF finansējums 200 534 </w:t>
            </w:r>
            <w:r w:rsidR="00000000" w:rsidRPr="00000000" w:rsidDel="00000000">
              <w:rPr>
                <w:sz w:val="24"/>
                <w:i w:val="1"/>
                <w:rtl w:val="0"/>
              </w:rPr>
              <w:t xml:space="preserve">euro</w:t>
            </w:r>
            <w:r w:rsidR="00000000" w:rsidRPr="00000000" w:rsidDel="00000000">
              <w:rPr>
                <w:sz w:val="24"/>
                <w:rtl w:val="0"/>
              </w:rPr>
              <w:t xml:space="preserve"> un valsts budžeta līdzfinansējums 35 391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pēc finansējuma saņēmēja izstrādātiem un iesniegtiem vienošanās par projekta īstenošanu grozījumiem.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ietaupījums 17 034 </w:t>
      </w:r>
      <w:r w:rsidR="00000000" w:rsidRPr="00000000" w:rsidDel="00000000">
        <w:rPr>
          <w:i w:val="1"/>
          <w:rtl w:val="0"/>
        </w:rPr>
        <w:t xml:space="preserve">euro</w:t>
      </w:r>
      <w:r w:rsidR="00000000" w:rsidRPr="00000000" w:rsidDel="00000000">
        <w:rPr>
          <w:rtl w:val="0"/>
        </w:rPr>
        <w:t xml:space="preserve"> apjomā (tai skaitā ERAF daļa 14 478 </w:t>
      </w:r>
      <w:r w:rsidR="00000000" w:rsidRPr="00000000" w:rsidDel="00000000">
        <w:rPr>
          <w:i w:val="1"/>
          <w:rtl w:val="0"/>
        </w:rPr>
        <w:t xml:space="preserve">euro</w:t>
      </w:r>
      <w:r w:rsidR="00000000" w:rsidRPr="00000000" w:rsidDel="00000000">
        <w:rPr>
          <w:rtl w:val="0"/>
        </w:rPr>
        <w:t xml:space="preserve"> un valsts budžeta līdzfinansējums 2 556 </w:t>
      </w:r>
      <w:r w:rsidR="00000000" w:rsidRPr="00000000" w:rsidDel="00000000">
        <w:rPr>
          <w:i w:val="1"/>
          <w:rtl w:val="0"/>
        </w:rPr>
        <w:t xml:space="preserve">euro</w:t>
      </w:r>
      <w:r w:rsidR="00000000" w:rsidRPr="00000000" w:rsidDel="00000000">
        <w:rPr>
          <w:rtl w:val="0"/>
        </w:rPr>
        <w:t xml:space="preserve">) ar Eiropas Savienības kohēzijas politikas programmas 2021.–2027. gadam grozījumiem Nr. 2 ir novirzīts Kundziņsalas Net Zero industriālās teritorijas projekta finansēšanai (SAM 2.5.1.).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samazināt 1.3.1.2. pasākuma finansējuma apjomu, pamatojoties uz Eiropas Savienības kohēzijas politikas programmas 2021.–2027. gadam grozījumiem Nr. 2. Ņemot vērā, ka Eiropas Savienības kohēzijas politikas programmas 2021.–2027. gadam grozījumu saskaņošana tiek organizēta ES fondu uzraudzības komitejas ietvaros, kurā ar balsstiesībām piedalās arī sociālo un sadarbības partneru pārstāvji, atsevišķa sabiedrības līdzdalība šajā gadījumā netika organizēta. Turklāt grozījumu projekts neparedz tādas izmaiņas, kas negatīvi ietekmētu mērķa grupas vai citu sabiedrības grupu vajadzības, bet skar tādus projekta ieviešanas nosacījumus, kas ir saistoši tikai finansējuma saņēmējam. Attiecīgi sabiedrības līdzdalība netika sludināta.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26-TA-1417</w:t>
    </w:r>
    <w:r>
      <w:br/>
    </w:r>
    <w:r w:rsidR="00000000" w:rsidRPr="00000000" w:rsidDel="00000000">
      <w:rPr>
        <w:rtl w:val="0"/>
      </w:rPr>
      <w:t xml:space="preserve">Izdrukāts 31.07.2026. 19.11 - 3.0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26-TA-1417</w:t>
    </w:r>
    <w:r>
      <w:br/>
    </w:r>
    <w:r w:rsidR="00000000" w:rsidRPr="00000000" w:rsidDel="00000000">
      <w:rPr>
        <w:rtl w:val="0"/>
      </w:rPr>
      <w:t xml:space="preserve">Izdrukāts 31.07.2026. 19.11 - 3.0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anotācija_(ex_ante)_26-TA-1417.docx</dc:title>
</cp:coreProperties>
</file>

<file path=docProps/custom.xml><?xml version="1.0" encoding="utf-8"?>
<Properties xmlns="http://schemas.openxmlformats.org/officeDocument/2006/custom-properties" xmlns:vt="http://schemas.openxmlformats.org/officeDocument/2006/docPropsVTypes"/>
</file>