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likumā "Par izložu un azartspēļu nodevu un nodokli""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 gada 26. septembra sēdes protokola Nr. 47 42. § "Informatīvais ziņojums "Par Valsts nodokļu politikas pamatnostādņu 2024. – 2027. gadam izstrādes virzību"" 8. punkts, ar kuru dots uzdevums Finanšu ministrijai sagatavot un finanšu ministram iesniegt izskatīšanai Ministru kabinetā likumprojekta "Par valsts budžetu 2024. gadam un budžeta ietvaru 2024., 2025. un 2026. gadam" pavadošo likumprojektu paketē grozījumus likumā "Par izložu un azartspēļu nodevu un nodokli", kas ar 2024. gadu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paaugstināt azartspēļu nodokļa likmi azartspēļu automātiem – par katra azartspēļu automāta katru spēles vietu līdz 6 204 </w:t>
      </w:r>
      <w:r w:rsidR="00000000" w:rsidRPr="00000000" w:rsidDel="00000000">
        <w:rPr>
          <w:i w:val="1"/>
          <w:rtl w:val="0"/>
        </w:rPr>
        <w:t xml:space="preserve">euro</w:t>
      </w:r>
      <w:r w:rsidR="00000000" w:rsidRPr="00000000" w:rsidDel="00000000">
        <w:rPr>
          <w:rtl w:val="0"/>
        </w:rPr>
        <w:t xml:space="preserve"> par kalendāro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paaugstināt azartspēļu nodokļa likmi ruletei un kāršu un kauliņu spēlei (par katru galdu) līdz 33 696 </w:t>
      </w:r>
      <w:r w:rsidR="00000000" w:rsidRPr="00000000" w:rsidDel="00000000">
        <w:rPr>
          <w:i w:val="1"/>
          <w:rtl w:val="0"/>
        </w:rPr>
        <w:t xml:space="preserve">euro</w:t>
      </w:r>
      <w:r w:rsidR="00000000" w:rsidRPr="00000000" w:rsidDel="00000000">
        <w:rPr>
          <w:rtl w:val="0"/>
        </w:rPr>
        <w:t xml:space="preserve"> par kalendāro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paaugstināt azartspēļu nodokļa likmi likuma "Par izložu un azartspēļu nodevu un nodokli" 3. panta piektajā daļā minētajam objektam (interaktīvajām azartspēlēm) līdz 12 procentu apmēram no šīs spēles organizēšanas ieņēmumiem.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sākot ar 2024.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paaugstināt par 20 % azartspēļu nodokļa likmi azartspēļu automātiem (par katra azartspēļu automāta katru spēles vietu) par kalendāro gadu no 5172 </w:t>
      </w:r>
      <w:r w:rsidR="00000000" w:rsidRPr="00000000" w:rsidDel="00000000">
        <w:rPr>
          <w:i w:val="1"/>
          <w:rtl w:val="0"/>
        </w:rPr>
        <w:t xml:space="preserve">euro</w:t>
      </w:r>
      <w:r w:rsidR="00000000" w:rsidRPr="00000000" w:rsidDel="00000000">
        <w:rPr>
          <w:rtl w:val="0"/>
        </w:rPr>
        <w:t xml:space="preserve"> uz 6204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paaugstināt par 20 % azartspēļu nodokļa likmi ruletei un kāršu un kauliņu spēlei (par katru galdu) par kalendāro gadu no 28 080 </w:t>
      </w:r>
      <w:r w:rsidR="00000000" w:rsidRPr="00000000" w:rsidDel="00000000">
        <w:rPr>
          <w:i w:val="1"/>
          <w:rtl w:val="0"/>
        </w:rPr>
        <w:t xml:space="preserve">euro</w:t>
      </w:r>
      <w:r w:rsidR="00000000" w:rsidRPr="00000000" w:rsidDel="00000000">
        <w:rPr>
          <w:rtl w:val="0"/>
        </w:rPr>
        <w:t xml:space="preserve"> uz 33 696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paaugstināt par 20 % azartspēļu nodokļa likmi likuma "Par izložu un azartspēļu nodevu un nodokli" 3. panta piektajā daļā minētajam objektam no 10 % apmēra uz 12 % apmēru no šīs spēles organizēšanas ieņēmumiem.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izložu un azartspēļu nodevu un nodokli" 3.panta pirmā daļa nosaka, ka ar azartspēļu nodokli apliekamais objekts ir azartspēļu organizētājs – kapitālsabiedrība, azartspēļu norises vieta un spēļu iekārtas. No katras iekārtotās vai uzstādītās azartspēļu tiešās norises vietas iekasējams nodoklis par katru kārtējo kalendāro gadu pēc šā panta pirmajā daļā noteiktajām likmēm.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saskaņā ar likuma "Par izložu un azartspēļu nodevu un nodokli" 3.panta pirmo daļu azartspēļu nodokļa likme ruletei (cilindriskajai spēlei) – par katru ruletes rotējošajai iekārtai pievienoto spēļu galdu ir noteikta 28 080 </w:t>
      </w:r>
      <w:r w:rsidR="00000000" w:rsidRPr="00000000" w:rsidDel="00000000">
        <w:rPr>
          <w:i w:val="1"/>
          <w:rtl w:val="0"/>
        </w:rPr>
        <w:t xml:space="preserve">euro</w:t>
      </w:r>
      <w:r w:rsidR="00000000" w:rsidRPr="00000000" w:rsidDel="00000000">
        <w:rPr>
          <w:rtl w:val="0"/>
        </w:rPr>
        <w:t xml:space="preserve"> apmērā. Azartspēļu nodokļa likme kāršu un kauliņu spēlēm – par katru galdu ir noteikta 28 080 </w:t>
      </w:r>
      <w:r w:rsidR="00000000" w:rsidRPr="00000000" w:rsidDel="00000000">
        <w:rPr>
          <w:i w:val="1"/>
          <w:rtl w:val="0"/>
        </w:rPr>
        <w:t xml:space="preserve">euro</w:t>
      </w:r>
      <w:r w:rsidR="00000000" w:rsidRPr="00000000" w:rsidDel="00000000">
        <w:rPr>
          <w:rtl w:val="0"/>
        </w:rPr>
        <w:t xml:space="preserve"> apmērā. Azartspēļu nodokļa likme azartspēļu automātiem – par katra azartspēļu automāta katru spēles vietu ir noteikta 5172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atbilstoši likuma "Par izložu un azartspēļu nodevu un nodokli" 3. panta piektajai daļai azartspēļu nodoklis azartspēlēm, kuras organizē, izmantojot telekomunikācijas (turpmāk arī – interaktīvās azartspēles) ir 10% apmērā no šīs spēles organizēšanas ieņēmumiem.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izložu un azartspēļu nodevu un nodokli" 3. panta pirmajā daļā azartspēļu nodokļa likmes ir noteiktas absolūtā, nevis procentuālā izteiksmē kā lielākajai daļai nodokļu, kuras neietekmē inflācija. Līdz ar to būtu lietderīgi pārskatīt absolūtā izteiksmē noteiktās azartspēļu nodokļa likmes ik pēc noteikta laika perioda. Kopš 2020. gada 1. janvāra azartspēļu nodokļa likmes nav mainījušās.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Azartspēļu nozare ir saistīta ar īpaši augstu sociālo risku, tādēļ valstij ir nepieciešams veikt regulējošo funkciju, kas daļēji tiek īstenota ar azartspēļu nodevas un nodokļa palīdzību. Azartspēļu nodoklim ir fiskālā funkcija, kuras uzdevums ir nodrošināt valsts budžeta ieņēmumus un vismaz daļēji mazināt azartspēļu iespējamās negatīvās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Izložu un azartspēļu uzraudzības inspekcijas datiem azartspēļu organizētāju ieņēmumi no interaktīvajām azartspēlēm 2021. gadā ir pieauguši par 99,4% un 2022. gadā – par 126,7%, salīdzinot ar 2019.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Latvijā azartspēļu nodoklis interaktīvajām azartspēlēm ir 10% apmērā no šīs spēles organizēšanas ieņēmumiem.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Lietuvā azartspēļu nodoklis interaktīvajām azartspēlēm ir 20% apmērā no organizēšanas ieņēmumiem. Igaunijā azartspēļu nodoklis interaktīvajām azartspēlēm ir 5% apmērā no organizēšanas ieņēmumiem, bet Igaunijā plānots paaugstināt azartspēļu nodokļa likmi, sākot ar 2024. gadu, līdz 6% apmēram un, sākot ar 2026. gadu, līdz 7% apmēram no organizēšanas ieņēmumiem.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sabalansētu nodokļa likmes ar inflācijas un vidējo algu pieaugumu valstī, kā arī palielinātu ieņēmumus valsts budžetā un nodrošinātu valsts izdevumu pozīciju segšanu, likumprojekts paredz, sākot ar 2024.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paaugstināt par 20% azartspēļu nodokļa likmi azartspēļu automātiem (par katra azartspēļu automāta katru spēles vietu) par kalendāro gadu no 5 172 </w:t>
      </w:r>
      <w:r w:rsidR="00000000" w:rsidRPr="00000000" w:rsidDel="00000000">
        <w:rPr>
          <w:i w:val="1"/>
          <w:rtl w:val="0"/>
        </w:rPr>
        <w:t xml:space="preserve">euro</w:t>
      </w:r>
      <w:r w:rsidR="00000000" w:rsidRPr="00000000" w:rsidDel="00000000">
        <w:rPr>
          <w:rtl w:val="0"/>
        </w:rPr>
        <w:t xml:space="preserve"> uz 6 204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paaugstināt par 20% azartspēļu nodokļa likmi ruletei un kāršu un kauliņu spēlei (par katru galdu) par kalendāro gadu no 28 080 </w:t>
      </w:r>
      <w:r w:rsidR="00000000" w:rsidRPr="00000000" w:rsidDel="00000000">
        <w:rPr>
          <w:i w:val="1"/>
          <w:rtl w:val="0"/>
        </w:rPr>
        <w:t xml:space="preserve">euro</w:t>
      </w:r>
      <w:r w:rsidR="00000000" w:rsidRPr="00000000" w:rsidDel="00000000">
        <w:rPr>
          <w:rtl w:val="0"/>
        </w:rPr>
        <w:t xml:space="preserve"> uz 33 696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paaugstināt par 20% azartspēļu nodokļa likmi likuma "Par izložu un azartspēļu nodevu un nodokli" 3. panta piektajā daļā minētajam objektam (azartspēlēm, kuras organizē, izmantojot telekomunikācijas, neatkarīgi no spēles veida) no 10% apmēra uz 12% apmēru no šīs spēles organizēšanas ieņēmumiem.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izstrādes laikā tika izvērtēti arī azartspēļu nozares piedāvātie risinājumi azartspēļu nodokļa sloga palielināšanai.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likumprojektā ietverto normu atbilstību Latvijas Republikas Satversmes 105. panta pirmajam teikumam, secināms, ka likumprojekta normās ietvertajam pamattiesību ierobežojumam ir leģitīms mērķis, jo tas ir vērsts uz sabiedrības labklājības aizsardzību. Azartspēļu nozare ir saistīta ar īpaši augstu sociālo risku, tādēļ valstij ir nepieciešams veikt regulējošo funkciju, kas daļēji tiek īstenota ar azartspēļu nodevas un nodokļa palīdzību. Azartspēļu nodoklim ir fiskālā funkcija, kuras uzdevums ir nodrošināt valsts budžeta ieņēmumus un vismaz daļēji mazināt azartspēļu iespējamās negatīvās sekas. Likuma "Par izložu un azartspēļu nodevu un nodokli" 3. panta pirmajā daļā azartspēļu nodokļa likmes ir noteiktas absolūtā, nevis procentuālā izteiksmē kā lielākajai daļai nodokļu, kuras neietekmē inflācija. Līdz ar to, lai nodrošinātu fiskālo un ierobežojošo funkciju, tās ir regulāri jāpārskata. Likumprojektā paredzēts paaugstināt azartspēļu nodokļa likmi likuma "Par izložu un azartspēļu nodevu un nodokli" 3. panta piektajā daļā minētajam objektam (interaktīvajām azartspēlēm) no 10% apmēra uz 12% apmēru no šīs spēles organizēšanas ieņēmumiem. Pēc Izložu un azartspēļu uzraudzības inspekcijas datiem azartspēļu organizētāju ieņēmumi no interaktīvajām azartspēlēm 2021. gadā ir pieauguši par 99,4% un 2022. gadā – par 126,7%, salīdzinot ar 2019. gadu. Likumprojektā ietvertās normas ir vērstas uz papildu ienākumu nodrošināšanu valsts budžetā, tai skaitā uz papildu finansējuma nodrošināšanu drošībai un valsts aizsardzībai, izglītībai un veselībai, kā arī uz papildu finansējuma nodrošināšanu Valsts kultūrkapitāla fondam, kuram, sākot ar 2024. gada 1. janvāri, valsts budžeta līdzekļu piešķīrums paredzēts trīs procentu apmērā no plānotajiem kārtējā gada valsts budžeta ieņēmumiem no azartspēļu nodokļa. Turklāt azartspēļu nodoklis ir vērsts uz finansējuma nodrošināšanu azartspēļu organizēšanas uzraudzībai, kuru veic Izložu un azartspēļu uzraudzības inspekcija, lai nodrošinātu azartspēļu jomu regulējošo normatīvo aktu prasību ievērošanu. Tāpat likumprojektā ietvertās normas ir vērstas arī uz papildu ienākumu nodrošināšanu pašvaldību budžetos. Ņemot vērā minēto, likumprojekta normās ietvertais pamattiesību ierobežojums ir samērīgs ar tā leģitīmo mērķi. Ņemot vērā arī apstākli, ka azartspēļu nozares rādītāji ir pozitīvi dinamikā, piemēram, pēc Izložu un azartspēļu uzraudzības inspekcijas datiem, salīdzinot ar 2019. gada 1. ceturksni, ieņēmumi vidēji uz vienu azartspēļu galdu 2023. gada 1. ceturksnī palielinājušies (vidēji mēnesī) līdz 28 321 </w:t>
      </w:r>
      <w:r w:rsidR="00000000" w:rsidRPr="00000000" w:rsidDel="00000000">
        <w:rPr>
          <w:i w:val="1"/>
          <w:rtl w:val="0"/>
        </w:rPr>
        <w:t xml:space="preserve">euro</w:t>
      </w:r>
      <w:r w:rsidR="00000000" w:rsidRPr="00000000" w:rsidDel="00000000">
        <w:rPr>
          <w:rtl w:val="0"/>
        </w:rPr>
        <w:t xml:space="preserve"> apmēram, ieņēmumi vidēji uz vienu azartspēļu automātu 2023. gada 1. ceturksnī palielinājušies (vidēji mēnesī) līdz 2426 </w:t>
      </w:r>
      <w:r w:rsidR="00000000" w:rsidRPr="00000000" w:rsidDel="00000000">
        <w:rPr>
          <w:i w:val="1"/>
          <w:rtl w:val="0"/>
        </w:rPr>
        <w:t xml:space="preserve">euro</w:t>
      </w:r>
      <w:r w:rsidR="00000000" w:rsidRPr="00000000" w:rsidDel="00000000">
        <w:rPr>
          <w:rtl w:val="0"/>
        </w:rPr>
        <w:t xml:space="preserve"> apmēram.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Kapitālsabiedrības, kas organizē azartspēles. Pašlaik Latvijā azartspēles organizē 19 licencēti azartspēļu organizētāji.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42 657 000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43 140 000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5 214 000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43 623 000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5 537 000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5 855 000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41 374 170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41 883 030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5 090 000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42 391 890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5 405 000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5 716 000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1 282 830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1 256 970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124 000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1 231 110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132 000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139 000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42 657 000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43 140 000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5 214 000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43 623 000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5 537 000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5 855 000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41 374 170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41 883 030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5 090 000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42 391 890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5 405 000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5 716 000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1 282 830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1 256 970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124 000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1 231 110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132 000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139 000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5 214 000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5 537 000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5 855 000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5 090 000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5 405 000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5 716 000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124 000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132 000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139 000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 gadā azartspēļu nodokļa likme par vienu spēļu automātu ir 5 172 </w:t>
            </w:r>
            <w:r w:rsidR="00000000" w:rsidRPr="00000000" w:rsidDel="00000000">
              <w:rPr>
                <w:sz w:val="24"/>
                <w:i w:val="1"/>
                <w:rtl w:val="0"/>
              </w:rPr>
              <w:t xml:space="preserve">euro</w:t>
            </w:r>
            <w:r w:rsidR="00000000" w:rsidRPr="00000000" w:rsidDel="00000000">
              <w:rPr>
                <w:sz w:val="24"/>
                <w:rtl w:val="0"/>
              </w:rPr>
              <w:t xml:space="preserve"> gadā. Paaugstinot likmi par 20 % jeb līdz 6 204 </w:t>
            </w:r>
            <w:r w:rsidR="00000000" w:rsidRPr="00000000" w:rsidDel="00000000">
              <w:rPr>
                <w:sz w:val="24"/>
                <w:i w:val="1"/>
                <w:rtl w:val="0"/>
              </w:rPr>
              <w:t xml:space="preserve">euro</w:t>
            </w:r>
            <w:r w:rsidR="00000000" w:rsidRPr="00000000" w:rsidDel="00000000">
              <w:rPr>
                <w:sz w:val="24"/>
                <w:rtl w:val="0"/>
              </w:rPr>
              <w:t xml:space="preserve"> par vienu spēļu automātu, tiek prognozēts 8,0 % spēļu automātu skaita samazinājums (no vidēji 4 600 gadā līdz vidēji 4 248 gadā). Ņemot vērā azartspēļu nodokļa maksāšanas kārtību, fiskālā ietekme 2024. gadā tiek prognozēta 2,350 milj.  </w:t>
            </w:r>
            <w:r w:rsidR="00000000" w:rsidRPr="00000000" w:rsidDel="00000000">
              <w:rPr>
                <w:sz w:val="24"/>
                <w:i w:val="1"/>
                <w:rtl w:val="0"/>
              </w:rPr>
              <w:t xml:space="preserve">euro</w:t>
            </w:r>
            <w:r w:rsidR="00000000" w:rsidRPr="00000000" w:rsidDel="00000000">
              <w:rPr>
                <w:sz w:val="24"/>
                <w:rtl w:val="0"/>
              </w:rPr>
              <w:t xml:space="preserve">, 2025. gadā 2,495 milj. </w:t>
            </w:r>
            <w:r w:rsidR="00000000" w:rsidRPr="00000000" w:rsidDel="00000000">
              <w:rPr>
                <w:sz w:val="24"/>
                <w:i w:val="1"/>
                <w:rtl w:val="0"/>
              </w:rPr>
              <w:t xml:space="preserve">euro</w:t>
            </w:r>
            <w:r w:rsidR="00000000" w:rsidRPr="00000000" w:rsidDel="00000000">
              <w:rPr>
                <w:sz w:val="24"/>
                <w:rtl w:val="0"/>
              </w:rPr>
              <w:t xml:space="preserve"> un 2026. gadā 2,639 milj.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Nodokļa likme ruletei un kāršu un kauliņu spēlei (par katru galdu) ir 28 080 euro gadā. Likmi paaugstinot par 20 % jeb līdz 33 696 </w:t>
            </w:r>
            <w:r w:rsidR="00000000" w:rsidRPr="00000000" w:rsidDel="00000000">
              <w:rPr>
                <w:sz w:val="24"/>
                <w:i w:val="1"/>
                <w:rtl w:val="0"/>
              </w:rPr>
              <w:t xml:space="preserve">euro</w:t>
            </w:r>
            <w:r w:rsidR="00000000" w:rsidRPr="00000000" w:rsidDel="00000000">
              <w:rPr>
                <w:sz w:val="24"/>
                <w:rtl w:val="0"/>
              </w:rPr>
              <w:t xml:space="preserve"> par vienu galdu, tiek prognozēts 8,0 % galdu skaita samazinājums salīdzinājumā ar iepriekš plānoto (no vidēji 40 galdiem līdz vidēji 37 galdiem gadā). Ņemot vērā azartspēļu nodokļa maksāšanas kārtību, fiskālā ietekme 2024. gadā tiek prognozēta 0,114 milj. </w:t>
            </w:r>
            <w:r w:rsidR="00000000" w:rsidRPr="00000000" w:rsidDel="00000000">
              <w:rPr>
                <w:sz w:val="24"/>
                <w:i w:val="1"/>
                <w:rtl w:val="0"/>
              </w:rPr>
              <w:t xml:space="preserve">euro</w:t>
            </w:r>
            <w:r w:rsidR="00000000" w:rsidRPr="00000000" w:rsidDel="00000000">
              <w:rPr>
                <w:sz w:val="24"/>
                <w:rtl w:val="0"/>
              </w:rPr>
              <w:t xml:space="preserve">, 2025. gadā 0,122 milj. </w:t>
            </w:r>
            <w:r w:rsidR="00000000" w:rsidRPr="00000000" w:rsidDel="00000000">
              <w:rPr>
                <w:sz w:val="24"/>
                <w:i w:val="1"/>
                <w:rtl w:val="0"/>
              </w:rPr>
              <w:t xml:space="preserve">euro</w:t>
            </w:r>
            <w:r w:rsidR="00000000" w:rsidRPr="00000000" w:rsidDel="00000000">
              <w:rPr>
                <w:sz w:val="24"/>
                <w:rtl w:val="0"/>
              </w:rPr>
              <w:t xml:space="preserve"> un 2026. gadā 0,128 milj.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 gadā nodokļa likme interaktīvajām azartspēlēm ir 10 % no šīs azartspēles organizēšanas ieņēmumiem. Tiek pieņemts, ka, paaugstinot likmi līdz 12 %, interaktīvo azartspēļu organizēšanas ieņēmumu apjoms nesamazināsies. Līdz ar to fiskālā ietekme, ņemot vērā nodokļa maksāšanas kārtību, 2024. gadā tiek prognozēta 2,750 milj. </w:t>
            </w:r>
            <w:r w:rsidR="00000000" w:rsidRPr="00000000" w:rsidDel="00000000">
              <w:rPr>
                <w:sz w:val="24"/>
                <w:i w:val="1"/>
                <w:rtl w:val="0"/>
              </w:rPr>
              <w:t xml:space="preserve">euro</w:t>
            </w:r>
            <w:r w:rsidR="00000000" w:rsidRPr="00000000" w:rsidDel="00000000">
              <w:rPr>
                <w:sz w:val="24"/>
                <w:rtl w:val="0"/>
              </w:rPr>
              <w:t xml:space="preserve">, 2025. gadā 2,920 milj. </w:t>
            </w:r>
            <w:r w:rsidR="00000000" w:rsidRPr="00000000" w:rsidDel="00000000">
              <w:rPr>
                <w:sz w:val="24"/>
                <w:i w:val="1"/>
                <w:rtl w:val="0"/>
              </w:rPr>
              <w:t xml:space="preserve">euro</w:t>
            </w:r>
            <w:r w:rsidR="00000000" w:rsidRPr="00000000" w:rsidDel="00000000">
              <w:rPr>
                <w:sz w:val="24"/>
                <w:rtl w:val="0"/>
              </w:rPr>
              <w:t xml:space="preserve"> un 2026. gadā 3,088 milj. </w:t>
            </w:r>
            <w:r w:rsidR="00000000" w:rsidRPr="00000000" w:rsidDel="00000000">
              <w:rPr>
                <w:sz w:val="24"/>
                <w:i w:val="1"/>
                <w:rtl w:val="0"/>
              </w:rPr>
              <w:t xml:space="preserve">euro</w:t>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Paredzētais valsts pamatbudžeta ieņēmumu palielinājums 2024., 2025. un 2026. gadam tiks iekļauts likumprojektā "Par valsts budžetu 2024. gadam un budžeta ietvaru 2024., 2025. un 2026. gadam".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paredzētā azartspēļu nodokļa likmju paaugstināšana tika izskatīta Nodokļu politikas pilnveidošanas koordinēšanas grupā sadarbībā ar sociālajiem un sadarbības partneriem.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23-TA-2263</w:t>
    </w:r>
    <w:r>
      <w:br/>
    </w:r>
    <w:r w:rsidR="00000000" w:rsidRPr="00000000" w:rsidDel="00000000">
      <w:rPr>
        <w:rtl w:val="0"/>
      </w:rPr>
      <w:t xml:space="preserve">Izdrukāts 30.07.2026. 00.11 - 2.0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23-TA-2263</w:t>
    </w:r>
    <w:r>
      <w:br/>
    </w:r>
    <w:r w:rsidR="00000000" w:rsidRPr="00000000" w:rsidDel="00000000">
      <w:rPr>
        <w:rtl w:val="0"/>
      </w:rPr>
      <w:t xml:space="preserve">Izdrukāts 30.07.2026. 00.11 - 2.0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anotācija_(ex_ante)_23-TA-2263.docx</dc:title>
</cp:coreProperties>
</file>

<file path=docProps/custom.xml><?xml version="1.0" encoding="utf-8"?>
<Properties xmlns="http://schemas.openxmlformats.org/officeDocument/2006/custom-properties" xmlns:vt="http://schemas.openxmlformats.org/officeDocument/2006/docPropsVTypes"/>
</file>