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25. februāra noteikumos Nr. 126 "Kārtība, kādā piešķir valsts atbalstu lauksaimniecībai""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2025. gada 25. februāra noteikumos Nr. 126 "Kārtība, kādā piešķir valsts atbalstu lauksaimniecībai" (turpmāk – noteikumi Nr. 126) ir noteikti valsts atbalsta pasākumi lauksaimniecības attīstībai, valsts atbalsta apmērs, piešķiršanas kritēriji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Nr. 126 (turpmāk – noteikumu projekts) ir sagatavoti, ievērojot Lauksaimniecības un lauku attīstības likuma 5. panta 3.</w:t>
      </w:r>
      <w:r w:rsidR="00000000" w:rsidRPr="00000000" w:rsidDel="00000000">
        <w:rPr>
          <w:vertAlign w:val="superscript"/>
          <w:rtl w:val="0"/>
        </w:rPr>
        <w:t xml:space="preserve">1 </w:t>
      </w:r>
      <w:r w:rsidR="00000000" w:rsidRPr="00000000" w:rsidDel="00000000">
        <w:rPr>
          <w:rtl w:val="0"/>
        </w:rPr>
        <w:t xml:space="preserve">un ceturto daļu.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vairākus atbalsta piešķiršanas nosacījumus,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būtu skaidri saprotami Komisijas 2022. gada 14. decembra Regulas (ES)  2022/2472, ar kuru, piemērojot Līguma par Eiropas Savienības darbību 107. un 108. pantu, dažu kategoriju atbalstu lauksaimniecības un mežsaimniecības nozarē un lauku apvidos atzīst par saderīgu ar iekšējo tirgu, (turpmāk – regula  2022/2472) piemērošanas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nodrošinātu pietiekamu un efektīvu atbalsta izmantošanu un dokumentu iesniegšanu dažos lopkopības un augkopības atbalsta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126 papildināmi ar dažiem regulas 2022/2472 nosacījumiem. Nepieciešami arī precizējumi noteikumu Nr. 126 2.2. apakšnodaļā "Atbalsts ciltsdarba pasākumiem piensaimniecības nozarē" par finansējuma apmēru un dokumentu iesniegšanas prasībām, kā arī 3.2. apakšnodaļā "Atbalsts kultūraugu genofonda un izolātu saglabāšanai, standartšķirnes novērtēšanai, šķirnes identitātes pārbaudei un labības šķirņu slimībizturības novērtēšanai" par atbalsta attiecināmajām izmaksām un vajadzīgo dokumentu iesniegšanas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2022/2472 noteic, ka atbalstu nepiešķir </w:t>
      </w:r>
      <w:r w:rsidR="00000000" w:rsidRPr="00000000" w:rsidDel="00000000">
        <w:rPr>
          <w:b w:val="1"/>
          <w:rtl w:val="0"/>
        </w:rPr>
        <w:t xml:space="preserve">grūtībās nonākušam uzņēmumam</w:t>
      </w:r>
      <w:r w:rsidR="00000000" w:rsidRPr="00000000" w:rsidDel="00000000">
        <w:rPr>
          <w:rtl w:val="0"/>
        </w:rPr>
        <w:t xml:space="preserve">,</w:t>
      </w:r>
      <w:r w:rsidR="00000000" w:rsidRPr="00000000" w:rsidDel="00000000">
        <w:rPr>
          <w:b w:val="1"/>
          <w:rtl w:val="0"/>
        </w:rPr>
        <w:t xml:space="preserve"> </w:t>
      </w:r>
      <w:r w:rsidR="00000000" w:rsidRPr="00000000" w:rsidDel="00000000">
        <w:rPr>
          <w:rtl w:val="0"/>
        </w:rPr>
        <w:t xml:space="preserve">tomēr šai prasībai ir paredzēti arī izņēmumi. Pašlaik atbilstoši regulai 2022/2472 noteikumos Nr. 126 iekļauts izņēmums attiecībā uz regulas 27. panta 2. punkta "c" un "d" apakšpunktu, paredzot, ka par kritušo dzīvnieku savākšanu un iznīcināšanu nav jāvērtē, vai pretendents ir nonācis grūtībās. Regulas 2022/2472 1. panta 5. punktā ir noteikts izņēmums arī attiecībā uz uzņēmumu, kas īsteno minētās regulas 21. pantā noteiktās informēšanas darbības, tāpēc šis izņēmums jāparedz arī noteikumos Nr. 126.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4.1.1. apakšpunkts papildināts, ietverot atsauci uz regulas 2022/2472 21. pantu. Tādējādi arī par informēšanas pasākumiem, kas minēti notikumu Nr. 126 2.9. apakšnodaļā "Atbalsts dzīvnieku darbspēju un ģenētiskās kvalitātes popularizēšanas pasākumiem", 4.1. apakšnodaļā "Atbalsts lauku un lauksaimnieku biedrību un nodibinājumu savstarpējās sadarbības veicināšanai un dalībai starptautiskajās organizācijās" un 4.2. apakšnodaļā "Tehniskais atbalsts lauksaimniecības nozarē", būs skaidri noteikts, ka nav jāvērtē grūtībās nonākušā statuss.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2022/2472 noteic, ka atbalstam ir jābūt ar </w:t>
      </w:r>
      <w:r w:rsidR="00000000" w:rsidRPr="00000000" w:rsidDel="00000000">
        <w:rPr>
          <w:b w:val="1"/>
          <w:rtl w:val="0"/>
        </w:rPr>
        <w:t xml:space="preserve">stimulējošu ietekmi, </w:t>
      </w:r>
      <w:r w:rsidR="00000000" w:rsidRPr="00000000" w:rsidDel="00000000">
        <w:rPr>
          <w:rtl w:val="0"/>
        </w:rPr>
        <w:t xml:space="preserve">taču šai prasībai ir paredzēti arī izņēmumi, tāpēc tie ir jāietver noteikumos Nr. 126.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5.3. apakšpunkts papildināts ar atsauci uz regulas 2022/2472 6. panta 5. punktu, kurā ir noteikti atbalsta pasākumi, kam nevērtē stimulējošo ietekmi. Tādējādi prasība par stimulējošo ietekmi nav jāattiecina uz noteikumu Nr. 126 2.9. apakšnodaļā "Atbalsts dzīvnieku darbspēju un ģenētiskās kvalitātes popularizēšanas pasākumiem", 2.10. apakšnodaļā "Atbalsts dzīvnieku līķu savākšanai, transportēšanai, pārstrādei un likvidēšanai", 4.1. apakšnodaļā "Atbalsts lauku un lauksaimnieku biedrību un nodibinājumu savstarpējās sadarbības veicināšanai un dalībai starptautiskajās organizācijās" un 4.2. apakšnodaļā "Tehniskais atbalsts lauksaimniecības nozarē" minēto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126 21.1.5. apakšpunktā noteikts, ka kopējais atbalsta apmērs par </w:t>
      </w:r>
      <w:r w:rsidR="00000000" w:rsidRPr="00000000" w:rsidDel="00000000">
        <w:rPr>
          <w:b w:val="1"/>
          <w:rtl w:val="0"/>
        </w:rPr>
        <w:t xml:space="preserve">Latvijas brūnās vecā tipa šķirnes un Latvijas zilās šķirnes buļļu jaunu līniju izveidi </w:t>
      </w:r>
      <w:r w:rsidR="00000000" w:rsidRPr="00000000" w:rsidDel="00000000">
        <w:rPr>
          <w:rtl w:val="0"/>
        </w:rPr>
        <w:t xml:space="preserve">ir 12 000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tomēr par minēto šķirņu saglabāšanu atbildīgās šķirnes lauksaimniecības dzīvnieku audzētāju biedrības (turpmāk – biedrības), aprēķinot aptuvenās izmaksas, ir secinājušas, ka ar šo finansējumu šogad nepietiek, jo šogad ir iespējams iegūt spermu no četriem buļļiem – diviem Latvijas brūnās vecā tipa šķirnes un diviem Latvijas zilās šķirnes buļļiem – un provizoriskās izmaksas, lai pilnībā nodrošinātu visu procesu, ietverot buļļu spermas iegūšanu un uzglabāšanu, ir līdz 8000 </w:t>
      </w:r>
      <w:r w:rsidR="00000000" w:rsidRPr="00000000" w:rsidDel="00000000">
        <w:rPr>
          <w:i w:val="1"/>
          <w:rtl w:val="0"/>
        </w:rPr>
        <w:t xml:space="preserve">euro</w:t>
      </w:r>
      <w:r w:rsidR="00000000" w:rsidRPr="00000000" w:rsidDel="00000000">
        <w:rPr>
          <w:rtl w:val="0"/>
        </w:rPr>
        <w:t xml:space="preserve"> par katru bulli. Jāņem vērā, ka ir mainījusies situācija attiecībā uz spermas iegūšanas centriem un biedrībām vairs nav iespējas sadarboties ar līdzšinējiem sadarbības partneriem, un tas ietekmē kopējās izmaksas, piemēram, transportēšanas izmaksas, palielinoties attālumam līdz spermas iegūšanas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ir sniedzis informāciju, ka pašlaik ir finansējuma atlikums atbalsta pasākumā "2025. gadā uzsākto atbalsta pasākumu izpildes finansējumam", tāpēc ir iespējams palielināt atbalsta summu noteikumu Nr. 126 21.1.5. apakšpunktā.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21.1.5. apakšpunktā līdz 32 000 </w:t>
      </w:r>
      <w:r w:rsidR="00000000" w:rsidRPr="00000000" w:rsidDel="00000000">
        <w:rPr>
          <w:i w:val="1"/>
          <w:rtl w:val="0"/>
        </w:rPr>
        <w:t xml:space="preserve">euro</w:t>
      </w:r>
      <w:r w:rsidR="00000000" w:rsidRPr="00000000" w:rsidDel="00000000">
        <w:rPr>
          <w:rtl w:val="0"/>
        </w:rPr>
        <w:t xml:space="preserve"> palielināta kopējā atbalsta summa (palielinājums par 20 000 </w:t>
      </w:r>
      <w:r w:rsidR="00000000" w:rsidRPr="00000000" w:rsidDel="00000000">
        <w:rPr>
          <w:i w:val="1"/>
          <w:rtl w:val="0"/>
        </w:rPr>
        <w:t xml:space="preserve">euro</w:t>
      </w:r>
      <w:r w:rsidR="00000000" w:rsidRPr="00000000" w:rsidDel="00000000">
        <w:rPr>
          <w:rtl w:val="0"/>
        </w:rPr>
        <w:t xml:space="preserve">). Atbilstoši precizēts 2.1., 2.1.1. un 2.1.1.1. apakšpunkts (palielinājums par 20 000 </w:t>
      </w:r>
      <w:r w:rsidR="00000000" w:rsidRPr="00000000" w:rsidDel="00000000">
        <w:rPr>
          <w:i w:val="1"/>
          <w:rtl w:val="0"/>
        </w:rPr>
        <w:t xml:space="preserve">euro </w:t>
      </w:r>
      <w:r w:rsidR="00000000" w:rsidRPr="00000000" w:rsidDel="00000000">
        <w:rPr>
          <w:rtl w:val="0"/>
        </w:rPr>
        <w:t xml:space="preserve">katrā pozīcijā) un 2.7. apakšpunkts (samazinājums par 20 000 </w:t>
      </w:r>
      <w:r w:rsidR="00000000" w:rsidRPr="00000000" w:rsidDel="00000000">
        <w:rPr>
          <w:i w:val="1"/>
          <w:rtl w:val="0"/>
        </w:rPr>
        <w:t xml:space="preserve">euro</w:t>
      </w:r>
      <w:r w:rsidR="00000000" w:rsidRPr="00000000" w:rsidDel="00000000">
        <w:rPr>
          <w:rtl w:val="0"/>
        </w:rPr>
        <w:t xml:space="preserve">). Papildus, lai dotu iespēju 2026. gadā pretendentam segt visas izmaksas līdz pat gada beigām, 22.7. apakšpunktā noteikts jauns dokumentu iesniegšanas datums, t. i., nākamā gada 1. februāris (pašlaik tas ir kārtējā gada 5. decembris). Pretendentam izmaksājamā priekšapmaksa spēkā esošajos noteikumos noteikta 90 procentu apmērā, bet, ja tiek pārcelts dokumentu iesniegšanas datums, pretendents 2026. gadā saņemtu tikai 90 procentu nepieciešamā finansējuma (atlikumu var saņemt tikai pēc samaksu apliecinošu dokumentu kopsavilkuma iesniegšanas). Tādējādi, lai 2026. gadā pretendentam varētu piešķirt visu plānoto finansējumu, 25.1.2. apakšpunktā priekšapmaksa noteikta 100 procentu apmērā. Pēc noteikumu projekta apstiprināšanas pretendenti iesniegs Lauku atbalsta dienestā precizētās tāmes, un Lauku atbalsta dienests precizēs lēmumu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priekšapmaksa pretendentam būs piešķirta lielākā apmērā, nekā būs norādīts pēc pasākuma īstenošanas iesniegto samaksu apliecinošo dokumentu kopsavilkumā, Lauku atbalsta dienestam nav riska neatgūt piešķirto finansējumu. Biedrības nav riska klienti, jo tās katru gadu saņem atbalstu arī citos pasākumos un, ja atbalsts netiek atgūts, Lauku atbalsta dienests konkrēto summu ietur no nākamā atbalsta finansējuma 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atbalsts standartšķirņu novērtēšanai paredzēts tikai atbilstoši kultūraugu lauciņu izcenojumam, tomēr pretendentam darba gaitā var rasties arī </w:t>
      </w:r>
      <w:r w:rsidR="00000000" w:rsidRPr="00000000" w:rsidDel="00000000">
        <w:rPr>
          <w:b w:val="1"/>
          <w:rtl w:val="0"/>
        </w:rPr>
        <w:t xml:space="preserve">administratīvās izmaksas</w:t>
      </w:r>
      <w:r w:rsidR="00000000" w:rsidRPr="00000000" w:rsidDel="00000000">
        <w:rPr>
          <w:rtl w:val="0"/>
        </w:rPr>
        <w:t xml:space="preserve">, kas ietver informācijas sagatavošanu un analīzi par atbilstošu standartšķirņu izvēli, sadarbību un informācijas apmaiņu ar šķirņu pārstāvjiem par standartšķirņu sēklu pieejamību un piegādi, ietverot loģistikas un saziņas līdzekļu izmaksas, kā arī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atbalsta nosacījumos jāietver izmaksas par administratīvajiem izdevumiem, nepārsniedzot pasākumā pieejamā kopējā finansējuma apmēru.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126 ir papildināti ar 99.4. apakšpunktu, paredzot atbalstu par administratīvajām izmaksām. Atbilstoši papildināts arī noteikumu Nr. 126 102.2. apakšpunkts, nosakot, ka Lauku atbalsta dienests galīgo norēķinu izdara tikai pēc tam, kad pretendents par administratīvajām izmaksām ir iesniedzis samaksu apliecinošu dokumentu kopsavilkumu.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126 100.1. un 100.1. apakšpunktā noteikts, ka atbalsta pretendents sagatavo tāmi. Tā kā saistībā ar šīm tāmēm noteikumos Nr. 126 nav noteikti konkrēti izcenojumi, pretendentam atbilstoši šai tāmei Lauku atbalsta dienestā būtu jāiesniedz </w:t>
      </w:r>
      <w:r w:rsidR="00000000" w:rsidRPr="00000000" w:rsidDel="00000000">
        <w:rPr>
          <w:b w:val="1"/>
          <w:rtl w:val="0"/>
        </w:rPr>
        <w:t xml:space="preserve">samaksu apliecinoši dokumenti</w:t>
      </w:r>
      <w:r w:rsidR="00000000" w:rsidRPr="00000000" w:rsidDel="00000000">
        <w:rPr>
          <w:rtl w:val="0"/>
        </w:rPr>
        <w:t xml:space="preserve">. To pretendents būtībā arī dara, tomēr šī prasība nav ietverta noteikumu Nr. 126 redakcijā, tāpēc nepieciešami precizējumi.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126 102.2. apakšpunkts papildināts, nosakot, ka Lauku atbalsta dienests galīgo norēķinu izdara tikai pēc tam, kad pretendents par 100.1. un 101.1. apakšpunktā minētajām izmaksām ir iesniedzis samaksu apliecinošu dokumentu kopsavilkumu.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novērtē lauksaimniecības kultūru standartšķirnes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uztur Latvijas izcelsmes dārzaugiem patogēno sēņu un baktēriju izolātu kolekciju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novērtē labības šķirņu slimībizturību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lauksaimniecības dzīvnieku audzētāju biedrības, kas īsteno vietējo apdraudēto šķirņu – Latvijas brūnās un Latvijas zilās šķirnes – saglabāšanas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lauksaimniecības dzīvnieku audzētāju biedrībām, kas īsteno vietējo apdraudēto šķirņu – Latvijas brūnās un Latvijas zilās šķirnes – saglabāšanas programmas, būs pietiekams finansējums un atbilstošs dokumentu iesniegšanas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novērtē lauksaimniecības kultūru standartšķirnes, varēs izmantot piešķirtos līdzekļus arī administratīvo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personām, kas uztur Latvijas izcelsmes dārzaugiem patogēno sēņu un baktēriju izolātu kolekciju un novērtē labības šķirņu slimībizturību, jāiesniedz samaksu apliecinošu dokumentu kopsavilkums par tāmē iekļautajām izmaksām. Šīs personas jau to ir darījušas līdz šim, tāpēc praksē administratīvais slogs tām nepalielinās.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punktā iekļauts grozījums, kas paredz papildināt Ministru kabineta 2025. gada 25. februāra noteikumus Nr. 126 "Kārtība, kādā piešķir valsts atbalstu lauksaimniecībai" (turpmāk – MK noteikumi Nr. 126) ar 99.4. apakšpunktu, nosakot, ka piešķirto finansējumu var izmantot administratīvo izmaksu segšanai. Normas izpildei tiks izmantots MK noteikumu Nr. 126 2.2.2. apakšpunktā minētais finansējums, nepārsniedzot kopējo atbalsta pasākumam pieejamo finansējumu.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(turpmāk – regula 2022/2472)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2022/2472 noteikti vispārējie valsts atbalsta nosacījumi (darbības joma, definīcijas, paziņošanas robežvērtības, atbalsta pārredzamība u. c.), kā arī nosacījumi un izņēmumi attiecībā uz grūtībās nonākušiem uzņēmumiem un atbalsta stimulējošo ietekmi.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 (turpmāk – regula 2022/2472)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27.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6. panta 2.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nosacījumi ir tikai precizēti un nav būtiski grozīti, un labvēlīgi ietekmē atbalsta pretendentus, tāpēc sabiedrības līdzdalība uz noteikumu projektu 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pretendenti, kurus skar precizētās noteikumu projekta normas, ir informēti par noteikumu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26-TA-798</w:t>
    </w:r>
    <w:r>
      <w:br/>
    </w:r>
    <w:r w:rsidR="00000000" w:rsidRPr="00000000" w:rsidDel="00000000">
      <w:rPr>
        <w:rtl w:val="0"/>
      </w:rPr>
      <w:t xml:space="preserve">Izdrukāts 29.07.2026. 22.43 - 3.0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26-TA-798</w:t>
    </w:r>
    <w:r>
      <w:br/>
    </w:r>
    <w:r w:rsidR="00000000" w:rsidRPr="00000000" w:rsidDel="00000000">
      <w:rPr>
        <w:rtl w:val="0"/>
      </w:rPr>
      <w:t xml:space="preserve">Izdrukāts 29.07.2026. 22.43 - 3.0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anotācija_(ex_ante)_26-TA-798.docx</dc:title>
</cp:coreProperties>
</file>

<file path=docProps/custom.xml><?xml version="1.0" encoding="utf-8"?>
<Properties xmlns="http://schemas.openxmlformats.org/officeDocument/2006/custom-properties" xmlns:vt="http://schemas.openxmlformats.org/officeDocument/2006/docPropsVTypes"/>
</file>