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veiktu grozījumus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(turpmāk – Noteikumi Nr. 530), pamatojoties uz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palielināt Eiropas Savienības kohēzijas politikas programmas 2021.-2027. gadam 5.1.1.5. pasākuma “Unikāla Eiropas mēroga kultūras mantojuma atjaunošana, lai veicinātu to piekļūstamību, attīstot kultūras pakalpojumus” ietvaros pieejamo valsts budžeta finansējums, kas pārsniedz pieejamo Eiropas Reģionālās attīstības fonda finansējumu, nodrošinot tūlītēju Eiropas Savienības fondu 2021.-2027. gada perioda investīciju naudas plūsmas paātrināšanu.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25. novembrī apstiprināja Latvijas izstrādāto Eiropas Savienības kohēzijas politikas programmu 2021.-2027. gadam (turpmāk – Programma), nosakot, ka 5. politikas mērķa “Iedzīvotājiem tuvāka Eiropa, veicinot visu veidu teritoriju un vietējo iniciatīvu ilgtspējīgu un integrētu attīstību” ietvaros kultūrai ir būtiska nozīme dzīves kvalitātes uzlabošanā un attīstības veicināšanā, izmantojot teritoriāli pielāgotus risinājumus. Stiprinot kultūras dimensiju, nodrošinot kultūras mantojuma saglabāšanu, aizsardzību un infrastruktūras izveidi, kultūrvēsturiskās, ainaviski vērtīgās teritorijas, unikāls Eiropas līmeņa mantojums, to saglabātība nākotnē būs būtisks dzīves vides kvalitātes rādītājs un sekmēs dzīves vietas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Nr. 530 stāšanos spēkā 2023. gada 16. septembrī noteikta kārtība, kādā tiek īstenots Programmas 5.1. prioritātes “Reģionu līdzsvarota attīstība” 5.1.1. specifiskā atbalsta mērķa “Vietējās teritorijas integrētās sociālās, ekonomiskās un vides attīstības un kultūras mantojuma, tūrisma un drošības veicināšana” (turpmāk – 5.1.1. SAM) 5.1.1.5. pasākums “Unikāla Eiropas mēroga kultūras mantojuma atjaunošana, lai veicinātu to piekļūstamību, attīstot kultūras pakalpojumus” (turpmāk – 5.1.1.5.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pasākuma ietvaros atbalsts paredzēts unikālu valsts nozīmes kultūras pieminekļu, kas atrodas UNESCO Pasaules mantojuma sarakstā iekļautajā teritorijā Rīgas vēsturiskajā centrā, saglabāšanu, aizsargāšanu un attīstīšanu, veicinot objektu piekļūstamību un paplašinot objekta kā ilgtspējīga resursa inovatīvu izmantošanu cilvēka dzīves kvalitātes uzlabošanā un vietējo iedzīvotāju kopienas stiprināšanā, tai skaitā uzlabojot kultūras objektu piekļūstamību cilvēkiem ar īpašām vajadzībām, kā arī integrējot projektos inovatīvus risinājumus, kas ļauj attīstīt kultūras satura digitālo piedāvājumu, paplašinot kultūras mantojuma saturisko piedāvājumu un veicinot kultūras mantojuma kā ilgtspējīga resursa inovatīvu izmantošanu cilvēka dzīves kvalitātes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maksimāli efektīvu kultūras infrastruktūras attīstību un stiprinātu kultūras mantojuma saglabāšanu, ilgtspējību un piekļūstamību, 5.1.1.5. pasākuma ietvaros ierobežotas projektu iesniegumu atlases veidā paredzēts īstenot stratēģiski svarīgus projektus šādu kultūras mantojuma objektu atjaunošanai un publiskās ārtelpas attīstībai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Lielā ģilde (Amatu ielā 6,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izstāžu zāle Arsenāls (Torņa ielā 1,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Vecrīgas publiskā ārtelpa.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pasākuma projekta iesniedzējs ir valsts akciju sabiedrība “Valsts nekustamie īpašumi” un Rīgas valstspilsētas pašvaldība, kuras īpašumā, turējumā, lietošanā vai valdījumā atrodas kultūras mantojuma objekts vai infrastruktūra, kurā plānotas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Noteikumos Nr. 530 noteikto, Centrālā finanšu un līgumu aģentūra kā sadarbības iestāde 2023. gada 17. oktobrī ir uzaicinājusi valsts akciju sabiedrību “Valsts nekustamie īpašumi” un Rīgas valstspilsētas pašvaldību sagatavot un iesniegt projekta iesniegumus Eiropas Savienības fondu finansējuma saņemšanai. 2024. gada 29. februārī ir iesniegts izstāžu zāles Arsenāls pārbūves un restaurācijas darbu veikšanas II posma projekta iesniegums un notiek tā vērtēšana un 2024. gada 25. martā ir iesniegts Lielās ģildes pārbūves un atjaunošanas II posma projekts, kurā tika pārbaudīta finansējuma saņēmēja atbilstība ES fondu izslēgšanas kritēriju un sankciju nosacījumu neesamībai. 2024. gada 18. jūnijā parakstīts līgums par Lielās ģildes pārbūves un atjaunošanas II posmu.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ziņojuma projektā “Par Finanšu ministrijas pārziņā esošo Eiropas Savienības fondu un ārvalstu finanšu palīdzības aktualitātēm līdz 2024. gada 1. martam (pusgada ziņojums)” (turpmāk – Informatīvais ziņojums) norādītajam pastāv būtiski riski Eiropas Savienības fondu 2021.-2027. gada plānošanas perioda investīciju plāna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Finanšu ministrijas vadībā sadarbībā ar atbildīgajām iestādēm, ministrijām uzsākta 2021.-2027. gada plānošanas perioda ES fondu investīciju portfeļa optimizācijas priekšlikumu izstrāde.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nepieciešamībai intensificēt Eiropas Savienības fondu 2021.-2027. gada plānošanas perioda investīciju plūsmas ir Eiropas Savienības regulējums, kas nosaka, ka programmas ietvaros ir jāizpilda Eiropas Komisijas pieprasāmo izdevumu minimālais apmērs kumulatīvi 2025. gadā un turpmāk līdz 2030. gadam (n+3 mērķis), lai nezaudētu Eiropas Savienības fondu “piešķīrumu”.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sabalansētu perioda izdevumu plūsmu un sasniegtu Eiropas Komisijas noteikto pieprasāmo izdevumu minimālo apmēru kumulatīvi 2025. gadā un turpmāk ikgadēji līdz 2030. gadam (n+3 mērķis) [1], budžeta izdevumiem Eiropas Savienības fondu 2021.-2027. gada plānošanas perioda investīcijām 2025. gadā jābūt virs 700 milj. </w:t>
      </w:r>
      <w:r w:rsidR="00000000" w:rsidRPr="00000000" w:rsidDel="00000000">
        <w:rPr>
          <w:i w:val="1"/>
          <w:rtl w:val="0"/>
        </w:rPr>
        <w:t xml:space="preserve">euro</w:t>
      </w:r>
      <w:r w:rsidR="00000000" w:rsidRPr="00000000" w:rsidDel="00000000">
        <w:rPr>
          <w:rtl w:val="0"/>
        </w:rPr>
        <w:t xml:space="preserve">. Līdz ar to 2024. gada februāra laikā atbildīgās ministrijas veica investīciju portfeļa pārskatīšanu pēc būtības. Attiecīgi 2024. gada 5. martā Eiropas Savienības fondu tematiskās komitejas sanāksmē finanšu ministra vadībā ministri konceptuāli vienojās par tūlītējiem investīciju optimizēšanas risinājumiem naudas plūsmas paātrināšanai, veicot finansējuma pārdales ministriju investīciju portfeļu pārstrukturizēšanai par 662,8 milj. </w:t>
      </w:r>
      <w:r w:rsidR="00000000" w:rsidRPr="00000000" w:rsidDel="00000000">
        <w:rPr>
          <w:i w:val="1"/>
          <w:rtl w:val="0"/>
        </w:rPr>
        <w:t xml:space="preserve">euro</w:t>
      </w:r>
      <w:r w:rsidR="00000000" w:rsidRPr="00000000" w:rsidDel="00000000">
        <w:rPr>
          <w:rtl w:val="0"/>
        </w:rPr>
        <w:t xml:space="preserve">. Attiecīgi Informatīvā ziņojuma pielikums Nr. 7 paredz Kultūras ministrijas investīciju portfeļa ietvaros palielināt 5.1.1.5. pasākuma valsts budžeta finansējumu, kas pārsniedz pieejamo Eiropas Reģionālās attīstības fonda finansējumu,</w:t>
      </w:r>
      <w:r w:rsidR="00000000" w:rsidRPr="00000000" w:rsidDel="00000000">
        <w:rPr>
          <w:i w:val="1"/>
          <w:rtl w:val="0"/>
        </w:rPr>
        <w:t xml:space="preserve"> </w:t>
      </w:r>
      <w:r w:rsidR="00000000" w:rsidRPr="00000000" w:rsidDel="00000000">
        <w:rPr>
          <w:rtl w:val="0"/>
        </w:rPr>
        <w:t xml:space="preserve">Daugavas gātes labiekārtošanai un Rīgas pils ekspozīcijas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Informatīvajā ziņojumā norādīto par riskiem Eiropas Savienības fondu 2021.-2027. gada plānošanas perioda investīciju plāna izpildē, Kultūras ministrija rosina veikt grozījumus Noteikumos Nr. 530, nosakot, ka 5.1.1.5. pasākuma ietvaros pieejamais kopējais attiecināmais finansējums ir ne mazāk kā 36 684 790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granta veidā ne vairāk kā – 31 182 071 </w:t>
      </w:r>
      <w:r w:rsidR="00000000" w:rsidRPr="00000000" w:rsidDel="00000000">
        <w:rPr>
          <w:i w:val="1"/>
          <w:rtl w:val="0"/>
        </w:rPr>
        <w:t xml:space="preserve">euro </w:t>
      </w:r>
      <w:r w:rsidR="00000000" w:rsidRPr="00000000" w:rsidDel="00000000">
        <w:rPr>
          <w:rtl w:val="0"/>
        </w:rPr>
        <w:t xml:space="preserve">(tai skaitā 2 972 290 </w:t>
      </w:r>
      <w:r w:rsidR="00000000" w:rsidRPr="00000000" w:rsidDel="00000000">
        <w:rPr>
          <w:i w:val="1"/>
          <w:rtl w:val="0"/>
        </w:rPr>
        <w:t xml:space="preserve">euro</w:t>
      </w:r>
      <w:r w:rsidR="00000000" w:rsidRPr="00000000" w:rsidDel="00000000">
        <w:rPr>
          <w:rtl w:val="0"/>
        </w:rPr>
        <w:t xml:space="preserve"> valsts budžeta finansējums, kas pārsniedz pasākumam pieejamo ERAF finansējumu)</w:t>
      </w:r>
      <w:r w:rsidR="00000000" w:rsidRPr="00000000" w:rsidDel="00000000">
        <w:rPr>
          <w:i w:val="1"/>
          <w:rtl w:val="0"/>
        </w:rPr>
        <w:t xml:space="preserve"> </w:t>
      </w:r>
      <w:r w:rsidR="00000000" w:rsidRPr="00000000" w:rsidDel="00000000">
        <w:rPr>
          <w:rtl w:val="0"/>
        </w:rPr>
        <w:t xml:space="preserve">un nacionālais finansējums (valsts budžeta līdzfinansējums 4 620 366 </w:t>
      </w:r>
      <w:r w:rsidR="00000000" w:rsidRPr="00000000" w:rsidDel="00000000">
        <w:rPr>
          <w:i w:val="1"/>
          <w:rtl w:val="0"/>
        </w:rPr>
        <w:t xml:space="preserve">euro</w:t>
      </w:r>
      <w:r w:rsidR="00000000" w:rsidRPr="00000000" w:rsidDel="00000000">
        <w:rPr>
          <w:rtl w:val="0"/>
        </w:rPr>
        <w:t xml:space="preserve">, pašvaldības līdzfinansējums 882 353 </w:t>
      </w:r>
      <w:r w:rsidR="00000000" w:rsidRPr="00000000" w:rsidDel="00000000">
        <w:rPr>
          <w:i w:val="1"/>
          <w:rtl w:val="0"/>
        </w:rPr>
        <w:t xml:space="preserve">euro</w:t>
      </w:r>
      <w:r w:rsidR="00000000" w:rsidRPr="00000000" w:rsidDel="00000000">
        <w:rPr>
          <w:rtl w:val="0"/>
        </w:rPr>
        <w:t xml:space="preserve">) – 5 502 719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Noteikumos Nr. 530 veiktas izmaiņas arī papildinot stratēģiski svarīgi projektu sarakstu ar Rīgas pils ekspozīciju un Daugavas gātes labiekārtošanu, kā arī projekta iesniedzēju loks papildināts ar Latvijas Nacionālo vēstures muzeju, kas īstenos Rīgas pils ekspozīcijas projektu. Latvijas Nacionālais vēstures muzejs ir Kultūras ministrijas pakļautībā esoša tiešās pārvaldes iestāde. Latvijas Nacionālais vēstures muzejs 2024. gada 8. maijā ir noslēdzis nomas līgumu ar valsts akciju sabiedrību “Valsts nekustamie īpašumi”, līdz ar to Noteikumos Nr. 530 nepieciešams paredzēt, ka objekts, kurā tiek veiktas investīcijas, atrodas projekta iesniedzēja nomā.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Daugavas gātes labiekārtošanas projekts ir saistīts ar inženiertīklu izbūvi, attiecībā uz Daugavas gātes labiekārtošanas projektu netiks piemērots projektu iesniegumu vērtēšanas kritērijs, kas paredz vērtēt Jaunā Eiropas </w:t>
      </w:r>
      <w:r w:rsidR="00000000" w:rsidRPr="00000000" w:rsidDel="00000000">
        <w:rPr>
          <w:i w:val="1"/>
          <w:rtl w:val="0"/>
        </w:rPr>
        <w:t xml:space="preserve">Bauhaus</w:t>
      </w:r>
      <w:r w:rsidR="00000000" w:rsidRPr="00000000" w:rsidDel="00000000">
        <w:rPr>
          <w:rtl w:val="0"/>
        </w:rPr>
        <w:t xml:space="preserve"> principus: estētika, ilgtspēja, iekļautība.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Noteikumos Nr. 530 paredzēts aizstāt netiešo izmaksu vienoto likmi 15 procentu apmērā no projekta vadības personāla atlīdzības izmaksām ar netiešo izmaksu vienoto likmi septiņu procentu apmērā no projekta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5.1.1.5. pasākuma ietvaros netiešo izmaksu vienotā likme 15 procentu apmērā no projekta vadības personāla atlīdzības izmaksām tika noteikta, ņemot vērā Eiropas Savienības struktūrfondu 2014.-2020. gada plānošanas perioda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ietvaros piemēroto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5.1.1.5. pasākuma īstenošanu, Kultūras ministrija projektu īstenošanas ietvaros secinājusi, ka projektu koordinācijas procesu nodrošināšanai nepieciešama atbilstoša administratīvā kapacitāte, lai nodrošinātu atbilstošus apstākļus projekta veicamo darbību realizācijai un projekta rezultātu sasniegšanai. Piemēram, telpu uzturēšanas un iekārtu izmantošanas izmaksas, kancelejas preces, komunālo un sakaru pakalpojumu izmaksas, iestādes vadības un atbalsta struktūrvienību izmaksas. Līdz ar to nepieciešams paredzēt, ka 5.1.1.5. pasākuma ietvaros tiek piemērota netiešo izmaksu vienotā likme septiņu procentu apmērā no projekta tiešajām attiecināmajām izmaksām. Pieejas maiņa neietekmēs 5.1.1.5. pasākuma uzraudzības rādītāju sasniegšanu un plānotās darbības tiks īstenotas pilnā apmērā. Plānotā izmaksu sliekšņa paaugstināšana ir taisnīga, objektīva, izsekojama, balstās uz vienotu pieeju un ir attiecināma uz visiem finansējuma saņēmējiem projektu īstenošanā, kas to plāno izmantot.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pasākuma ERAF finansējums 28 655 625 </w:t>
      </w:r>
      <w:r w:rsidR="00000000" w:rsidRPr="00000000" w:rsidDel="00000000">
        <w:rPr>
          <w:i w:val="1"/>
          <w:rtl w:val="0"/>
        </w:rPr>
        <w:t xml:space="preserve">euro </w:t>
      </w:r>
      <w:r w:rsidR="00000000" w:rsidRPr="00000000" w:rsidDel="00000000">
        <w:rPr>
          <w:rtl w:val="0"/>
        </w:rPr>
        <w:t xml:space="preserve">apmērā atbilst 166. intervences kodam “Kultūras mantojuma aizsardzība, pilnveidošana un popularizēšana un kultūras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spēkā stāšanās nepieciešams veikt grozījumus 5.1.1.5. pasākuma projektu iesniegumu atlases nolikumā, precizējot finansējuma saņēmējiem projekta iesnieguma atlases ietvaros pieejamo finansējuma apmēru, vienlaikus Centrālajai finanšu un līgumu aģentūrai nodrošinot projektu iesniedzēju informēšanu par projekta iesnieguma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izstrādājot 5.1.1.5. pasākuma komercdarbības atbalsta piemērošanas metodiku un vērtējot 5.1.1.5. pasākuma projekta iesniegumus, ir secinājusi, ka nepieciešami Noteikumu Nr. 530 44. punkta grozījumi, vienkāršojot iespējamā komercdarbības atbalsta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plānotie projekti šobrīd uzskatāmi par tādiem, kas ir brīvi no valsts atbalsta, ņemot vērā, ka plānotajos investīciju objektos Lielajā ģildē, izstāžu zālē Arsenāls un Rīgas pilī pašu ieņēmumi ir mazāki par 50 procentiem no kultūras jomas pakalpojumu sniedzēja gada budžeta. Savukārt Vecrīgas publiskā ārtelpa un jauniekļautais investīciju objekts Daugavas gāte apmeklētājiem būs pieejams bez maksas, tādējādi projektam nevar būt saimnieciska rakstura un iespējamais komercdarbības atbalsts šajos divos projektos turpmāk nav jāvērtē un jāuzrauga.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akciju sabiedrības “Valsts nekustamie īpašumi” īstenotajiem projektiem Nr. 5.1.1.5/2/24/I/001 “Lielās ģildes pārbūve un atjaunošana II posms” un Nr. 5.1.1.5/1/24/I/001 “Izstāžu zāles Arsenāls pārbūves un restaurācijas darbu veikšana”, kā arī jauniekļauto Rīgas pils ekspozīcijas projektu pēc šobrīd apstiprinātās kārtības finansējuma saņēmējam būtu jāsniedz informācija sadarbības iestādei, lai izvērtētu projekta atbilstību Noteikumu Nr. 530 43.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komercdarbības atbalsta nosacījumu ievērošanu padotībā esošajās valsts pārvaldes iestādēs un kapitālsabiedrībās, kurās Kultūras ministrija ir valsts kapitāla daļu turētāja, Kultūras ministrija ikgadējā izvērtējuma ietvaros jau veic Latvijas Nacionālā mākslas muzeja, kura viena no izstāžu zālēm ir Arsenāls, un Lielās ģildes lietotāja VSIA “Latvijas Nacionālais simfoniskais orķestris”, kā arī Latvijas Nacionālā vēstures muzeja Noteikumos Nr. 530 43. punktā minēto valsts atbalsta kritēriju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samazinātu administratīvo slogu gan sadarbības iestādei, gan finansējuma saņēmējam, Noteikumu Nr. 530 projekta 44. punktā noteikta Kultūras ministrijas atbildība par turpmāko valsts atbalsta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Noteikumu Nr. 530 grozījumi tiks pieņemti, attiecīgi tiks precizēta komercdarbības atbalsta piemērošanas metodika pēc Programmas 5.1. prioritātes “Reģionu līdzsvarota attīstība” 5.1.1. SAM 5.1.1.7. pasākuma “Reģionālās kultūras infrastruktūras attīstība kultūras pakalpojumu piekļūstamības uzlabošanai” metodikas analoģijas, kurā noteikts, ka valsts atbalsta konstatēšanas gadījumā Kultūras ministrija par to informēs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2021.-2027. Regulas Nr. 2021/1060 105. pants: Eiropas Komisija atceļ saistības jebkurai Programmas summas daļai, kas nav izmantota priekšfinansējumam vai par kuru līdz 31. decembrim trešajā gadā pēc programmas budžeta saistību gada nav sagatavots maksājuma pieteikums  par 2021.-2026. gadu. Saistību daļu, kas joprojām pastāv 2029. gada 31. decembrī, atceļ, ja regulas 43. panta 1. punktā noteiktajā (līdz 2031. gada 15. februārim) termiņā Eiropas Komisijas nav iesniegta apliecinājumu pakete un galīgais snieguma ziņojums par programmām. Izņēmumi ir regulas 106.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Potenciālais projekta iesniedzējs – valsts akciju sabiedrība “Valsts nekustamie īpašumi” un iespējamie sadarbības partneri, t.i., pašvaldības, pašvaldību iestādes, pašvaldību kapitālsabiedrības, valsts kapitālsabiedrības, tiešās pārvaldes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Projekta īstenošanas ietekmi uz administratīvajām procedūrām, ir identificējams administratīvā sloga palielinājums potenciālajiem finansējuma saņēmējiem un Eiropas Savienības fondu vadībā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1 849 946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453 050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1 849 946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453 050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2 176 407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2 176 407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-326 461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-326 461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-326 461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-326 461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5.1.1.5. pasākuma ietvaros plānotais un pieejamais kopējais finansējums ir 36 684 790 </w:t>
            </w:r>
            <w:r w:rsidR="00000000" w:rsidRPr="00000000" w:rsidDel="00000000">
              <w:rPr>
                <w:sz w:val="24"/>
                <w:i w:val="1"/>
                <w:rtl w:val="0"/>
              </w:rPr>
              <w:t xml:space="preserve">euro</w:t>
            </w:r>
            <w:r w:rsidR="00000000" w:rsidRPr="00000000" w:rsidDel="00000000">
              <w:rPr>
                <w:sz w:val="24"/>
                <w:rtl w:val="0"/>
              </w:rPr>
              <w:t xml:space="preserve">, tai skaitā ERAF finansējums – 31 182 071 </w:t>
            </w:r>
            <w:r w:rsidR="00000000" w:rsidRPr="00000000" w:rsidDel="00000000">
              <w:rPr>
                <w:sz w:val="24"/>
                <w:i w:val="1"/>
                <w:rtl w:val="0"/>
              </w:rPr>
              <w:t xml:space="preserve">euro</w:t>
            </w:r>
            <w:r w:rsidR="00000000" w:rsidRPr="00000000" w:rsidDel="00000000">
              <w:rPr>
                <w:sz w:val="24"/>
                <w:rtl w:val="0"/>
              </w:rPr>
              <w:t xml:space="preserve"> (tai skaitā 2 972 290 </w:t>
            </w:r>
            <w:r w:rsidR="00000000" w:rsidRPr="00000000" w:rsidDel="00000000">
              <w:rPr>
                <w:sz w:val="24"/>
                <w:i w:val="1"/>
                <w:rtl w:val="0"/>
              </w:rPr>
              <w:t xml:space="preserve">euro</w:t>
            </w:r>
            <w:r w:rsidR="00000000" w:rsidRPr="00000000" w:rsidDel="00000000">
              <w:rPr>
                <w:sz w:val="24"/>
                <w:rtl w:val="0"/>
              </w:rPr>
              <w:t xml:space="preserve"> valsts budžeta finansējums, kas pārsniedz pasākumam pieejamo ERAF finansējumu) un nacionālais finansējums – 5 502 719 </w:t>
            </w:r>
            <w:r w:rsidR="00000000" w:rsidRPr="00000000" w:rsidDel="00000000">
              <w:rPr>
                <w:sz w:val="24"/>
                <w:i w:val="1"/>
                <w:rtl w:val="0"/>
              </w:rPr>
              <w:t xml:space="preserve">euro</w:t>
            </w:r>
            <w:r w:rsidR="00000000" w:rsidRPr="00000000" w:rsidDel="00000000">
              <w:rPr>
                <w:sz w:val="24"/>
                <w:rtl w:val="0"/>
              </w:rPr>
              <w:t xml:space="preserve"> (tai skaitā valsts budžeta līdzfinansējums – 4 620 366 </w:t>
            </w:r>
            <w:r w:rsidR="00000000" w:rsidRPr="00000000" w:rsidDel="00000000">
              <w:rPr>
                <w:sz w:val="24"/>
                <w:i w:val="1"/>
                <w:rtl w:val="0"/>
              </w:rPr>
              <w:t xml:space="preserve">euro</w:t>
            </w:r>
            <w:r w:rsidR="00000000" w:rsidRPr="00000000" w:rsidDel="00000000">
              <w:rPr>
                <w:sz w:val="24"/>
                <w:rtl w:val="0"/>
              </w:rPr>
              <w:t xml:space="preserve">, pašvaldības līdzfinansējums – 882 353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papildināt stratēģiski svarīgu projektu sarakstu ar diviem jauniem projektiem, kam plānots cits publiskais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Rīgas pils ekspozīcijas projektu, ko īstenos Latvijas Nacionālais vēstures muzejs par kopējo summu 1 786 828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pils ekspozīcijai plānots finansējums 2023. gadā 342 000 </w:t>
            </w:r>
            <w:r w:rsidR="00000000" w:rsidRPr="00000000" w:rsidDel="00000000">
              <w:rPr>
                <w:sz w:val="24"/>
                <w:i w:val="1"/>
                <w:rtl w:val="0"/>
              </w:rPr>
              <w:t xml:space="preserve">euro</w:t>
            </w:r>
            <w:r w:rsidR="00000000" w:rsidRPr="00000000" w:rsidDel="00000000">
              <w:rPr>
                <w:sz w:val="24"/>
                <w:rtl w:val="0"/>
              </w:rPr>
              <w:t xml:space="preserve">, 2024. gadā 807 414</w:t>
            </w:r>
            <w:r w:rsidR="00000000" w:rsidRPr="00000000" w:rsidDel="00000000">
              <w:rPr>
                <w:sz w:val="24"/>
                <w:i w:val="1"/>
                <w:rtl w:val="0"/>
              </w:rPr>
              <w:t xml:space="preserve"> euro</w:t>
            </w:r>
            <w:r w:rsidR="00000000" w:rsidRPr="00000000" w:rsidDel="00000000">
              <w:rPr>
                <w:sz w:val="24"/>
                <w:rtl w:val="0"/>
              </w:rPr>
              <w:t xml:space="preserve">, 2025. gadā 637 414 </w:t>
            </w:r>
            <w:r w:rsidR="00000000" w:rsidRPr="00000000" w:rsidDel="00000000">
              <w:rPr>
                <w:sz w:val="24"/>
                <w:i w:val="1"/>
                <w:rtl w:val="0"/>
              </w:rPr>
              <w:t xml:space="preserve">euro</w:t>
            </w:r>
            <w:r w:rsidR="00000000" w:rsidRPr="00000000" w:rsidDel="00000000">
              <w:rPr>
                <w:sz w:val="24"/>
                <w:rtl w:val="0"/>
              </w:rPr>
              <w:t xml:space="preserve">. 2023. gada plānotais finansējums izlietos pilnībā. No piešķirtajām Rīgas pils ekspozīcijas izmaksām uz Eiropas Savienības fondu projektu attiecināmā daļa ir 1 276 672 </w:t>
            </w:r>
            <w:r w:rsidR="00000000" w:rsidRPr="00000000" w:rsidDel="00000000">
              <w:rPr>
                <w:sz w:val="24"/>
                <w:i w:val="1"/>
                <w:rtl w:val="0"/>
              </w:rPr>
              <w:t xml:space="preserve">euro</w:t>
            </w:r>
            <w:r w:rsidR="00000000" w:rsidRPr="00000000" w:rsidDel="00000000">
              <w:rPr>
                <w:sz w:val="24"/>
                <w:rtl w:val="0"/>
              </w:rPr>
              <w:t xml:space="preserve">, tai skaitā no 2023. gada izdevumiem 262 883 </w:t>
            </w:r>
            <w:r w:rsidR="00000000" w:rsidRPr="00000000" w:rsidDel="00000000">
              <w:rPr>
                <w:sz w:val="24"/>
                <w:i w:val="1"/>
                <w:rtl w:val="0"/>
              </w:rPr>
              <w:t xml:space="preserve">euro</w:t>
            </w:r>
            <w:r w:rsidR="00000000" w:rsidRPr="00000000" w:rsidDel="00000000">
              <w:rPr>
                <w:sz w:val="24"/>
                <w:rtl w:val="0"/>
              </w:rPr>
              <w:t xml:space="preserve">, 2024. gada 480 789 </w:t>
            </w:r>
            <w:r w:rsidR="00000000" w:rsidRPr="00000000" w:rsidDel="00000000">
              <w:rPr>
                <w:sz w:val="24"/>
                <w:i w:val="1"/>
                <w:rtl w:val="0"/>
              </w:rPr>
              <w:t xml:space="preserve">euro</w:t>
            </w:r>
            <w:r w:rsidR="00000000" w:rsidRPr="00000000" w:rsidDel="00000000">
              <w:rPr>
                <w:sz w:val="24"/>
                <w:rtl w:val="0"/>
              </w:rPr>
              <w:t xml:space="preserve">, 2025. gada 533 000 </w:t>
            </w:r>
            <w:r w:rsidR="00000000" w:rsidRPr="00000000" w:rsidDel="00000000">
              <w:rPr>
                <w:sz w:val="24"/>
                <w:i w:val="1"/>
                <w:rtl w:val="0"/>
              </w:rPr>
              <w:t xml:space="preserve">euro</w:t>
            </w:r>
            <w:r w:rsidR="00000000" w:rsidRPr="00000000" w:rsidDel="00000000">
              <w:rPr>
                <w:sz w:val="24"/>
                <w:rtl w:val="0"/>
              </w:rPr>
              <w:t xml:space="preserve">. Tā kā Rīgas pils ekspozīcijas izveidei turpmākajos gados nepieciešams papildu finansējums, tad no Eiropas Savienības fondiem nodeklarētais finansējums pārvirzāms uz ekspozīcijas izveidi. 2023. gada finansējums nav pārdalāms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Latvijas Nacionālais vēstures muzejs ekspozīcijas izveidi veiks par piešķirtiem valsts budžeta līdzekļiem. Eiropas Savienības fondu finansējuma apguvi uzsāks pēc projekta apstiprināšanas.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Daugavas gātes labiekārtošanas projektu, ko īstenos valsts akciju sabiedrība “Valsts nekustamie īpašumi”, par summu 1 695 618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ministrijas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2 176 407 </w:t>
            </w:r>
            <w:r w:rsidR="00000000" w:rsidRPr="00000000" w:rsidDel="00000000">
              <w:rPr>
                <w:sz w:val="24"/>
                <w:i w:val="1"/>
                <w:rtl w:val="0"/>
              </w:rPr>
              <w:t xml:space="preserve">euro</w:t>
            </w:r>
            <w:r w:rsidR="00000000" w:rsidRPr="00000000" w:rsidDel="00000000">
              <w:rPr>
                <w:sz w:val="24"/>
                <w:rtl w:val="0"/>
              </w:rPr>
              <w:t xml:space="preserve"> (ERAF 1 849 946 </w:t>
            </w:r>
            <w:r w:rsidR="00000000" w:rsidRPr="00000000" w:rsidDel="00000000">
              <w:rPr>
                <w:sz w:val="24"/>
                <w:i w:val="1"/>
                <w:rtl w:val="0"/>
              </w:rPr>
              <w:t xml:space="preserve">euro</w:t>
            </w:r>
            <w:r w:rsidR="00000000" w:rsidRPr="00000000" w:rsidDel="00000000">
              <w:rPr>
                <w:sz w:val="24"/>
                <w:rtl w:val="0"/>
              </w:rPr>
              <w:t xml:space="preserve">; nacionālais finansējums 326 461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533 000 </w:t>
            </w:r>
            <w:r w:rsidR="00000000" w:rsidRPr="00000000" w:rsidDel="00000000">
              <w:rPr>
                <w:sz w:val="24"/>
                <w:i w:val="1"/>
                <w:rtl w:val="0"/>
              </w:rPr>
              <w:t xml:space="preserve">euro</w:t>
            </w:r>
            <w:r w:rsidR="00000000" w:rsidRPr="00000000" w:rsidDel="00000000">
              <w:rPr>
                <w:sz w:val="24"/>
                <w:rtl w:val="0"/>
              </w:rPr>
              <w:t xml:space="preserve"> (ERAF 453 050 </w:t>
            </w:r>
            <w:r w:rsidR="00000000" w:rsidRPr="00000000" w:rsidDel="00000000">
              <w:rPr>
                <w:sz w:val="24"/>
                <w:i w:val="1"/>
                <w:rtl w:val="0"/>
              </w:rPr>
              <w:t xml:space="preserve">euro</w:t>
            </w:r>
            <w:r w:rsidR="00000000" w:rsidRPr="00000000" w:rsidDel="00000000">
              <w:rPr>
                <w:sz w:val="24"/>
                <w:rtl w:val="0"/>
              </w:rPr>
              <w:t xml:space="preserve">; nacionālais finansējums 79 950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lūgs veikt nepieciešamā finansējuma pārdali no 74. resora “Gadskārtējā valsts budžeta izpildes procesā pārdalāmais finansējums” 80.00.00 programmas “Nesadalītais finansējums Eiropas Savienības politiku instrumentu un pārējās ārvalstu finanšu palīdzības līdzfinansēto projektu un pasākumu īstenošanai”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pils ekspozīcijai – 1 013 789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Daugavas gātes labiekārtošanai – 1 695 618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Ministru kabineta 2023. gada 12. septembra noteikumu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izstrādes laikā.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24-TA-921</w:t>
    </w:r>
    <w:r>
      <w:br/>
    </w:r>
    <w:r w:rsidR="00000000" w:rsidRPr="00000000" w:rsidDel="00000000">
      <w:rPr>
        <w:rtl w:val="0"/>
      </w:rPr>
      <w:t xml:space="preserve">Izdrukāts 29.07.2026. 22.29 - 3.0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24-TA-921</w:t>
    </w:r>
    <w:r>
      <w:br/>
    </w:r>
    <w:r w:rsidR="00000000" w:rsidRPr="00000000" w:rsidDel="00000000">
      <w:rPr>
        <w:rtl w:val="0"/>
      </w:rPr>
      <w:t xml:space="preserve">Izdrukāts 29.07.2026. 22.29 - 3.0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anotācija_(ex_ante)_24-TA-921.docx</dc:title>
</cp:coreProperties>
</file>

<file path=docProps/custom.xml><?xml version="1.0" encoding="utf-8"?>
<Properties xmlns="http://schemas.openxmlformats.org/officeDocument/2006/custom-properties" xmlns:vt="http://schemas.openxmlformats.org/officeDocument/2006/docPropsVTypes"/>
</file>