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(turpmāk – noteikumu projekts) izstrādāts, pamatojoties uz Eiropas Savienības fondu 2021.-2027.gada plānošanas perioda vadības likuma 19. panta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sniegtu investīciju atbalstu pašvaldībām infrastruktūras attīstībai komercdarbībai, balstoties uz teritoriju attīstības plānošanas dokumentos noteiktajām prioritātēm.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attīstīt uzņēmējdarbības publisko infrastruktūru un palielināt privāto investīciju apjomu pilsētu funkcionālajās teritorijās, veicot ieguldījumus uzņēmējdarbības attīstībai atbilstoši pašvaldību attīstības programmām.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2019. gada 26. novembra rīkojumam Nr. 587  "Reģionālās politikas pamatnostādnes 2021.-2027. gadam" (turpmāk – RPP) Latvijā ir trešās augstākās reģionālās attīstības atšķirības starp Ekonomiskās Sadarbības un Attīstības organizācijas (OECD) valstīm. Iekšzemes kopprodukts (turpmāk – IKP) uz vienu iedzīvotāju starp reģioniem atšķiras līdz pat trīs reizēm. Atšķirības veido atšķirīgs kapitālo ieguldījumu apmērs (līdzīgi kā IKP un pievienotā vērtība atšķiras vairāk kā divas reizes, augstākie rādītāji uz nodarbināto ir Pierīgā, bet zemākie – Latgalē). Rīgas plānošanas reģions piesaista lielāko nefinanšu investīciju apjomu – 76% no kopējā piesaistītā nefinanšu investīciju apjoma. Tendences ekonomiskajā aktivitātē un privāto investīciju piesaistē reģionos liecina, ka nozīmīga problēma saimnieciskās darbības attīstībai ir nepilnīga publiskā un inženierkomunikāciju infrastruktūra. Līdz ar to, ar teritoriāli pielāgotiem risinājumiem nepieciešams attīstīt publisko infrastruktūru, kas uzlabos uzņēmējdarbības vidi, palielinās uzņēmējdarbības  potenciālu un darba algas, uzlabojot kopējo dzīves kvalitāti un veicinot līdzsvarotu attīstību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Eiropas Reģionālās attīstības fonda finansējums (turpmāk – ERAF) starp plānošanas reģioniem 5.1.1.1. pasākuma  "Infrastruktūra uzņēmējdarbības atbalstam" (turpmāk  - pasākums) pirmajā un otrajā projektu iesniegumu atlases kārtā (turpmāk – atlases kārta) tiek noteikts pēc IKP uz vienu iedzīvotāju apgrieztās proporcijas, lielāku finansējumu paredzot reģioniem ar zemākiem sociāli ekonomiskās attīstības rādītājiem,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57"/>
        <w:gridCol w:w="1457"/>
        <w:gridCol w:w="1457"/>
        <w:gridCol w:w="1457"/>
        <w:gridCol w:w="1457"/>
        <w:gridCol w:w="1457"/>
        <w:tblGridChange w:id="0">
          <w:tblGrid>
            <w:gridCol w:w="1457"/>
            <w:gridCol w:w="1457"/>
            <w:gridCol w:w="1457"/>
            <w:gridCol w:w="1457"/>
            <w:gridCol w:w="1457"/>
            <w:gridCol w:w="145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Plānošanas reģions (PR)</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IKP uz 1 iedzīvotāju* (2020. gada CSP dati) jauno PR robežās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Augstāk attīstītā reģiona IKP pārsvars (reizes)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Koeficienti**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Finansējums starp PR pasākuma 1.atlases kārtai, ERAF, </w:t>
            </w:r>
            <w:r w:rsidR="00000000" w:rsidRPr="00000000" w:rsidDel="00000000">
              <w:rPr>
                <w:sz w:val="24"/>
                <w:b w:val="1"/>
                <w:i w:val="1"/>
                <w:rtl w:val="0"/>
              </w:rPr>
              <w:t xml:space="preserve">euro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Finansējums starp PR pasākuma 2.atlases kārtai, ERAF, </w:t>
            </w:r>
            <w:r w:rsidR="00000000" w:rsidRPr="00000000" w:rsidDel="00000000">
              <w:rPr>
                <w:sz w:val="24"/>
                <w:b w:val="1"/>
                <w:i w:val="1"/>
                <w:rtl w:val="0"/>
              </w:rPr>
              <w:t xml:space="preserve">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PR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3 913 434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6 462 205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Kurzemes PR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11 175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8 026 533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13 254 114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Zemgales PR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8 306 064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13 715 701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Vidzemes PR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10 382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8 625 528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14 243 227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Latgales PR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8 103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11 061 441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18 265 620</w:t>
            </w:r>
          </w:p>
        </w:tc>
      </w:tr>
      <w:tr>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39 933 000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65 940 867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 Vērtību iegūst, dalot reģiona IKP faktiskajās cenās (dati par 2020.gadu, izgūti Centrālās statistikas pārvaldes  tīmekļvietnē uz 09.01.2023), ar reģiona vidējo iedzīvotāju skaitu (dati par 2020.gadu, izgūti Centrālās statistikas pārvaldes tīmekļa vietnē uz 09.01.2023).</w:t>
      </w:r>
      <w:r w:rsidR="00000000" w:rsidRPr="00000000" w:rsidDel="00000000">
        <w:rPr>
          <w:vertAlign w:val="subscript"/>
          <w:rtl w:val="0"/>
        </w:rPr>
        <w:t xml:space="preserve">** Koeficients, kuru piemēro reģionam 5.1.1.1.pasākumā pieejamā ERAF finansējuma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reģionālās attīstības atšķirības, t.sk. atšķirīgo iedzīvotāju ienākumu līmeni, kas ietekmē iedzīvotāju dzīves kvalitāti reģionos, ir atbalstāmas investīcijas uzņēmējdarbības attīstībai reģionos, balstoties uz teritoriju attīstības plānošanas dokumentos noteiktajām prioritātēm – ieguldījumi publiskajā infrastruktūrā saskaņā ar uzņēmumu pieprasījumu uzņēmējdarbības vides attīstībai un darba iespēju radīšanai pēc iespējas tuvāk dzīves vietai, mazinot potenciālos emigrācijas riskus ārpus reģiona. Atbalsts komersantu pieprasījumā balstītas publiskās infrastruktūras attīstībai tiks plānots sadarbībā ar komersantiem, ņemot vērā komersantu plānotās investīcijas pamatlīdzekļos esošo vai jaunu produktu un pakalpojumu attīstībai, kā arī komersantu investīcijas darbaspēka piesaistei.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atbalsts uzņēmējdarbības infrastruktūras attīstībai tiks sniegts granta veidā, ņemot vērā, ka plānotās darbības īstenos, galvenokārt, pašvaldības un nav plānots atbalsts peļņu gūstošiem projektiem, bet gan investīcijas ir paredzētas tirgus nepilnību novēršanai (ievērojot, ka privātais sektors neveic investīcijas publiskajā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Nacionālajam attīstības plānam 2021.-2027. gadam un RPP izaicinājumiem plānots atbalsts integrētajās teritoriālajās stratēģijās definētajām pilsētu funkcionālajām teritorijām komercdarbības vides attīstībai, nodrošinot atbilstību pašvaldību attīstības programmām. Attiecīgi ieguldījumus plānots veikt pilsētās un to funkcionālajās teritorijās, kas ir nacionālas un reģionālas nozīmes attīstības centri un to apkārtējās teritorijas, starp kurām ir ikdienas darbaspēka migrācija un kopīgs pakalpojumu tīkls. Integrētas teritoriālas attīstības veicināšanai izvēlēts nacionālais risinājums, kas paredz turpināt pašvaldībām to attīstības programmās noteikto nozīmīgu projektu īstenošanu caur atbalstu pilsētu funkcionālajām teritorijām, kas definētas reģionu attīstības programmu ietvaros, nodrošinot konkurences elementu un efektīvāko attīstības projektu īstenošanu. Tiks turpināta teritoriālā pieeja virzībā uz RPP noteiktā līdzsvarotas reģionālās attīstības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īsteno pasākumu, tai skaitā tam pieejamo finansējumu un sasniedzamos rādītājus, atbalsta saņēmēju loku, prasības pasākuma projekta iesniedzējam, finansējuma saņēmējam un sadarbības partneriem, atbalstāmās darbības un izmaksu attiecināmības nosacījumus, ar komercdarbības atbalsta saņemšanu saistītos nosacījumus, kā arī citus būtiskus pasākuma ieviešanas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pasākuma pirmās atlases kārtas īstenošanu (ierobežota projektu iesniegumu atlase, kuras ietvaros tiks īstenoti reģionālas nozīmes projekti atbilstoši plānošanas reģionu attīstības programmām), noteikumu projektā paredzēts, ka plānošanas reģioni līdz 2024. gada 1. jūnijam pieņem lēmumu par pirmās atlases kārtas ietvaros atbalstāmo plānošanas reģionu attīstības programmās paredzēto projektu sarakstu. Vides aizsardzības un reģionālās attīstības ministrija (turpmāk – VARAM) kā par reģionālās attīstības politiku atbildīgā nozares ministrija sniedz  Centrālajai finanšu un līgumu aģentūrai (turpmāk - sadarbības iestāde) informāciju par plānošanas reģionu attīstības programmās iekļautajiem pirmās atlases kārtas reģionālas nozīmes projektiem, kas ir saņēmuši pozitīvu VARAM atzinumu. Pēc informācijas saņemšanas no VARAM par attiecīgā plānošanas reģiona attīstības programmā iekļautajiem pirmās atlases kārtas reģionālas nozīmes projektiem, sadarbības iestāde nodrošina atlases procesa īstenošanai nepieciešamās aktivitātes un sagatavo projektu atlases dokumentāciju viena mēneša laikā, vienlaicīgi ievērojot noteikumu projektā noteikto  maksimāli noteikto termiņu, kādā plānošanas reģionu attīstības programmās paredzētie projekti iesniedzami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pozitīvu VARAM atzinumu, ir nepieciešams, lai projektu ideju pieteikumi atbilstu būtiskākajiem satura kritērijiem, par kuriem VARAM pēc šo noteikumu stāšanās spēkā informēs visus plānošanas reģionus, sagatavojot  reģionālas nozīmes projektu atlases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nozīmes projektu vadlīnijās paredzēts ietvert ieteikumus reģionālās nozīmes projektu saturam, t.sk. ieteicams plānot: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papildinošos projektus – projektus, kas papildina citas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projektus, kuru mērķis būtu noteiktas nozares vai jauna produkta attīstība, kam ir reģionāla nozīme (ietekme ir vērtējama pāri vienas pašvaldības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reģiona līdzsvarotu attīstību veicinošos projektus, vērtējot investīciju pārklājumu saistībā ar citiem atbalsta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paredzēts, ka attiecībā uz projektu ideju atbilstības kritērijiem, tiks vērtēts, vai projektu idejas atbilst MK noteikumu nosacījumiem, tai skaitā, vērtējot, piemēram, vai projektos plānotie ieguldījumi tiek veikti pilsētu funkcionālajās teritorijās un vai projekta mērķis un plānotais ERAF finansējums ir saskaņā ar MK noteikumu nosacījumiem. Ja projektu idejas atbildīs attiecīgajiem kritērijiem, tad VARAM sniegs pozitīvu atzinumu. Ja projekta ideja neatbildīs priekšatlases kritērijiem, VARAM sagatavos negatīvu atzinumu, iesniedzot to attiecīgajam plānošanas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2021.gada 24.jūnija Regulas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(turpmāk – regula Nr. 2021/1060) 29. panta 3. punktā noteikto,  lai tiktu nodrošināta integrēto teritoriju attīstības stratēģiju (reģionu attīstības programmu) izstrādātāju iesaiste projektu atlasē, noteikumu projekts nosaka, ka pasākuma otrās un trešās atlases kārtas ietvaros plānošanas reģiona pārstāvis piedalās projektu iesniegumu vērtēšanas komisijā (ar balsstiesībām).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paredzēts, ka sadarbības iestāde var piešķirt finansējuma saņēmējam avansu līdz 50 % no projektam piešķirtā ERAF finansējuma pēc civiltiesiskā līguma vai vienošanās par projekta īstenošanu noslēgšanas, ievērojot, ka avansu var izmaksāt vairākos maksājumos un avansa un starpposma maksājumu kopsumma nepārsniedz 90 % no projektam piešķirtā ERAF finansējuma. Šāds piešķiramā avansa apmērs noteikts kā optimālākais variants, kas nepieciešams projektu īstenošanai, lai tiktu nodrošināta naudas plūsma projektā iekļauto darbību ieviešanai, ņemot vērā, ka projektu iesniedzēji galvenokārt ir pašvaldības, kurām ir ierobežotas budžeta iespējas Eiropas Savienības fondu projektu priekšfinansēšanai, kā arī ņemot vērā, ka nepieciešams veicināt investīciju nonākšanu tautsaimniecībā un nodrošināt n+3 principa izpildi. Avansa apmērs noteikts, ievērojot arī to, ka kopumā būtiski kavējas Eiropas Savienības kohēzijas politikas programmas 2021.-2027.gadam (turpmāk – Programma) specifisko atbalsta mērķu un pasākumu uzsākšana un šī pasākuma ietvaros paredzēts atbalsts augstas gatavības projektiem. Vienlaikus projektu iesniedzējiem tiek noteikta prasība reizē ar avansa pieprasījumu iesniegt pamatojumu par spēju avansu izlietot sešu mēnešu laikā saimnieciskā gada ietvaros (piemēram, projekta iesniedzējam ir pabeigts būvdarbu iepirkums vai noslēgts būvdarbu līgums). Avansa izlietošanas termiņš noteikts, ņemot vērā pasākuma plānoto atlases laika grafiku un to, ka infrastruktūras būvniecība ir cieši saistīta ar sezonalitāti  – ziemas sezonā ir ierobežota būvdarbu veikšana, kad aktīvi būvdarbi nenotiek, tāpēc nepieciešams plānot ilgāku laiku avansa izlietošanai, iekļaujot arī aktīvās būvdarbu sezonas mēnešus. Avanss finansējuma saņēmējam tiks izmaksāts tikai tad, ja norādītajā termiņā ir iespējams to apgūt.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pieprasījuma sagatavošana un avansa piešķiršana tiks kontrolēta starp sadarbības iestādi un finansējuma saņēmēju noslēgtā civiltiesiskā līguma vai vienošanās par projekta īstenošanu ietvaros, un ir nepieciešama, ņemot vērā konstatēto, ka saimnieciskā gada ietvaros gada noslēgumā veidojas apjomīgi atlikumi pašvaldību pieprasītajos avansa apjomos, kas netiek iztērēti iepriekš solītajā apjomā un termiņos. Minētais nosacījums attiecībā uz avansa pieprasījuma piesaisti saimnieciskajam gadam nepieciešams, lai jau preventīvi veidotu finanšu izlietojumu disciplinējošus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un trešās atlases kārtas ietvaros var tikt organizēti vairāki projektu iesniegumu atlases uzsaukumi, ja to veikšana ir lietderīga un pamatota pieejamā finansējuma ietvaros. Otrajā atlases kārtā noteiktais ierobežojums, ka katrā uzsaukumā vienas pašvaldības ietvaros iesniedz ne vairāk kā divus projekta iesniegumus - attiecas uz vienu pašvaldību, skaitot kopā visus attiecīgās pašvaldības iespējamo projektu iesniedzēju projektu iesniegumus.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līdz 2029.gada 31.decembrim ir sasniedzami rezultāta rādītāji (komersanti, kas gūst labumu no attīstītās publiskās infrastruktūras, darba algu fonda pieaugums privātajos komersantos, komersantu nefinanšu investīcijas) (turpmāk – rādītāji), kuru vērtības rada privātā sektora pārstāvētie mazie, vidējie un lielie komersanti. Noteikumu projekts nosaka izslēdzošas nozares, kuru pārstāvoši komersanti nevar būt rādītāju devēji, lai tādejādi veicinātu projektu investīciju novirzīšanu projektiem, kur labuma guvējs ir komersants, kurš ražo un rada pievienoto vērtību. Nepieciešamības gadījumā sadarbības iestāde sadarbībā ar VARAM var sagatavot papildu skaidrojošu materiālu finansējuma saņēmējiem par rādītāju uzskaiti un ziņošanu.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mērķa grupa ir pašvaldības, iedzīvotāji un komersanti, kuru mērķis ir sekmēt savu saimniecisko darbību, attīstot esošās vai radot jaunas darbavietas un piesaistot nefinanšu investīcijas. Noteikumu projekta ietvaros projektu rādītāju devēji ir komersanti, kuru darbības mērķis ir gūt peļņu, kā arī tie var radīt augstākas pievienotās vērtības produktus, labāk apmaksātas darbavietas, veicināt sava produkta vai pakalpojuma eksportspēju. Biedrību un nodibinājumu darbības veids un raksturs neatbilst minētajām pazīmēm, līdz ar to biedrību un nodibinājumu rādītājus nevar ieskaitīt kā projekta ietvaros sasniegtos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Sasniedzamie rādītāji ir attiecināmi, ja tie rodas projekta iesniedzēja noteiktajā uzņēmējdarbības teritorijā. Vienlaikus ir paredzēts izņēmums, ka rādītājus, kas radušies ārpus projekta iesniedzēja noteiktās uzņēmējdarbības teritorijas līdz 1 500 metriem, arī var ieskaitīt projekta rādītājos, ja ārpus uzņēmējdarbības teritorijas radītajiem rādītājiem ir pamatota sasaiste ar uzņēmējdarbības teritoriju. Par pamatotu sasaisti uzskatāma uzņēmējdarbības teritorijā esošā komersanta, kas nodrošina projekta rādītājus, ražošanas cikla (t.sk. izejvielu loģistikas) vai pakalpojumu sniegšanas nodrošināšanai nepieciešamā infrastruktūra ārpus uzņēmējdarbības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rezultāta rādītāja "66 555 000 </w:t>
      </w:r>
      <w:r w:rsidR="00000000" w:rsidRPr="00000000" w:rsidDel="00000000">
        <w:rPr>
          <w:i w:val="1"/>
          <w:rtl w:val="0"/>
        </w:rPr>
        <w:t xml:space="preserve">euro</w:t>
      </w:r>
      <w:r w:rsidR="00000000" w:rsidRPr="00000000" w:rsidDel="00000000">
        <w:rPr>
          <w:rtl w:val="0"/>
        </w:rPr>
        <w:t xml:space="preserve"> darba algu fonda pieaugums privātajos komersantos" sasniegšanā ir pieļaujama gan jaunu darbavietu radīšana, gan esošo darbavietu algu fonda palielināšana, proti, rādītāja izpildē tiks ieskaitīts gan jaunradīto darbavietu, gan esošo darbavietu darba samaksas pieaugums kumulatīvi – izmaksas, kas radušās komersantam. Rādītāju vērtības varēs ieskaitīt un summēt, ja tās radušās divu kalendāra gadu laikā pirms projekta iesnieguma iesniegšanas un ne vēlāk kā trešajā kalendāra gadā pēc projekta noslēguma maksājuma veikšanas, nepārsniedzot 2029. gada 31. decembri. Rādītāja vērtības tiks pārbaudītas VID datu bāzē (datu noliktava). Piemēram,  ja projektu iesniedz 2024. gadā, tad bāzes gads pret kuru tiks vērtēta rādītāju sasniegšana, ir 2021. gads, par kuru komersants gada pārskatu iesniedz VID 2022. gada pirmajā pusē (vērtē 2022. un 2023. gada datus pret 2021. gada datiem). Ja šī projekta īstenošana tiks pabeigta 2026. gadā, tad rādītāju vērtības var ieskaitīt līdz 2029. gadam (ieskaitot), proti, ņem vērā no 2024. – 2029. gadam  (ieskaitot) VID datu bāzē pieejamo aktuālo informāciju. Piemēram, ja projektā paredzēta gan uzņēmējdarbības attīstībai nepieciešamā ceļa, gan  uzņēmējdarbības mērķiem paredzētās ēkas būvniecība, tad tiks ieskaitītas komersantu, kas atrodas pie ceļa, rādītāju vērtības no 2022. līdz 2029. gadam kumulatīvi, tās summējot. Savukārt, attiecībā uz piemērā minētās ēkas būvniecību, ja ēka tiks izbūvēta 2026. gadā, tiks ieskaitītas komersanta rādītāju vērtības no 2027. līdz 2029. gadam kumulatīvi, tās summējot. Šādā kompleksā projektā tiks vērtēta rādītāju sasniegšana projektā kopumā,  neizdalot atsevišķi to sasniegšanu pret izbūvēto ceļu vai ēku, līdz ar  to projektos, kuros ir paredzētas kompleksas darbības un kuros rādītāju devēji ir vairāki komersanti, pašvaldība var vadīt rādītāju nesasniegšanas riskus gadījumā, ja kādam no komersantiem projekta īstenošanas laikā mainās plānotā rādītāju izpilde. Proti, ja kāds no komersantiem nesasniedz plānotās rādītāju vērtības, bet cits komersants tās pārsniedz, tiks vērtēta rādītāju vērtību izpilde projektā kopumā. Atbilstoši RPP  nozīmīgās atšķirības ekonomiskajā aktivitātē tiešā veidā ietekmē pašvaldību budžetu apjomus, jo pašvaldībās, kurās ir zemāka ekonomiskā aktivitāte (lielāks bezdarbs u.c.) un zemāka vidējā alga, ir mazāki nodokļu ieņēmumi. Savukārt jaunu darba vietu izveide palielina konkurenci starp darba devējiem, tādējādi veicinot vidējās algas un labklājības pieaugumu.  Ņemot vērā cilvēkresursu trūkumu reģionos, ir būtiski veidot tādus atbalsta instrumentus, kas tiešā veidā būtu mērķēti uz darba algu pieaugumu un cilvēkresursu piesaisti reģioniem. Līdz ar to, lai veicinātu reģionālās politikas mērķi, kas ir radīt priekšnosacījumus visu reģionu ekonomiskā potenciāla attīstībai un sociālekonomisko atšķirību mazināšanai reģionos, ir būtiski radīt un attīstīt tādas darbavietas, kur algu līmenis ir virs vidējā valstī, attiecīgi, pašvaldībām būtu jāizvērtē iespēja prioritāri  attīstīt tādas komersantu pieprasījumā balstītas uzņēmējdarbības teritorijas, kas veicina iepriekš minēto reģionālās politikas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Projekta 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finansējums: 1 milj.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algu fonda pieaugums: min. 500 000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 2024. gadā, pabeidz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Bāzes gads: 2021.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1510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3"/>
        <w:gridCol w:w="1149"/>
        <w:gridCol w:w="1100"/>
        <w:gridCol w:w="10977"/>
        <w:gridCol w:w="10977"/>
        <w:gridCol w:w="10977"/>
        <w:gridCol w:w="10977"/>
        <w:gridCol w:w="10977"/>
        <w:gridCol w:w="10977"/>
        <w:gridCol w:w="10977"/>
        <w:gridCol w:w="10977"/>
        <w:gridCol w:w="10977"/>
        <w:gridCol w:w="923"/>
        <w:tblGridChange w:id="0">
          <w:tblGrid>
            <w:gridCol w:w="203"/>
            <w:gridCol w:w="1149"/>
            <w:gridCol w:w="1100"/>
            <w:gridCol w:w="10977"/>
            <w:gridCol w:w="10977"/>
            <w:gridCol w:w="10977"/>
            <w:gridCol w:w="10977"/>
            <w:gridCol w:w="10977"/>
            <w:gridCol w:w="10977"/>
            <w:gridCol w:w="10977"/>
            <w:gridCol w:w="10977"/>
            <w:gridCol w:w="10977"/>
            <w:gridCol w:w="923"/>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Nr.</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Projekta darbība</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Komersants</w:t>
            </w:r>
            <w:r w:rsidR="00000000" w:rsidRPr="00000000" w:rsidDel="00000000">
              <w:rPr>
                <w:sz w:val="24"/>
                <w:b w:val="1"/>
                <w:vertAlign w:val="superscript"/>
                <w:rtl w:val="0"/>
              </w:rPr>
              <w:t xml:space="preserve">1</w:t>
            </w:r>
          </w:p>
        </w:tc>
        <w:tc>
          <w:tcPr>
            <w:shd w:fill="ffffff"/>
            <w:vAlign w:val="bottom"/>
            <w:noWrap w:val="true"/>
            <w:vMerge w:val="restart"/>
            <w:gridSpan w:val="9"/>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Darba algu izmaksa (</w:t>
            </w:r>
            <w:r w:rsidR="00000000" w:rsidRPr="00000000" w:rsidDel="00000000">
              <w:rPr>
                <w:sz w:val="24"/>
                <w:b w:val="1"/>
                <w:i w:val="1"/>
                <w:rtl w:val="0"/>
              </w:rPr>
              <w:t xml:space="preserve">euro</w:t>
            </w:r>
            <w:r w:rsidR="00000000" w:rsidRPr="00000000" w:rsidDel="00000000">
              <w:rPr>
                <w:sz w:val="24"/>
                <w:b w:val="1"/>
                <w:rtl w:val="0"/>
              </w:rPr>
              <w:t xml:space="preserve">) no VID datu noliktavas</w:t>
            </w:r>
            <w:r w:rsidR="00000000" w:rsidRPr="00000000" w:rsidDel="00000000">
              <w:rPr>
                <w:sz w:val="24"/>
                <w:b w:val="1"/>
                <w:vertAlign w:val="superscript"/>
                <w:rtl w:val="0"/>
              </w:rPr>
              <w:t xml:space="preserve">2</w:t>
            </w:r>
            <w:r w:rsidR="00000000" w:rsidRPr="00000000" w:rsidDel="00000000">
              <w:rPr>
                <w:sz w:val="24"/>
                <w:b w:val="1"/>
                <w:rtl w:val="0"/>
              </w:rPr>
              <w:t xml:space="preserve"> (kopā </w:t>
            </w:r>
            <w:r w:rsidR="00000000" w:rsidRPr="00000000" w:rsidDel="00000000">
              <w:rPr>
                <w:sz w:val="24"/>
                <w:b w:val="1"/>
                <w:i w:val="1"/>
                <w:rtl w:val="0"/>
              </w:rPr>
              <w:t xml:space="preserve">euro</w:t>
            </w:r>
            <w:r w:rsidR="00000000" w:rsidRPr="00000000" w:rsidDel="00000000">
              <w:rPr>
                <w:sz w:val="24"/>
                <w:b w:val="1"/>
                <w:rtl w:val="0"/>
              </w:rPr>
              <w:t xml:space="preserve">/gadā)</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Darba algu fonda pieaugums KOPĀ, EUR</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 </w:t>
            </w:r>
            <w:r w:rsidR="00000000" w:rsidRPr="00000000" w:rsidDel="00000000">
              <w:rPr>
                <w:sz w:val="24"/>
                <w:rtl w:val="0"/>
              </w:rPr>
              <w:t xml:space="preserve">(bāzes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r w:rsidR="00000000" w:rsidRPr="00000000" w:rsidDel="00000000">
              <w:rPr>
                <w:sz w:val="24"/>
                <w:b w:val="1"/>
                <w:vertAlign w:val="superscript"/>
                <w:rtl w:val="0"/>
              </w:rPr>
              <w:t xml:space="preserve">3 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(rādītāja vērtība sasniegta)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(pēdējais rādītāja sasniegšanas gads)</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Ceļa pārbūve (nav komercdarbības atbalsts)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Esošs komersants pie ceļa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490 000 (+0</w:t>
            </w:r>
            <w:r w:rsidR="00000000" w:rsidRPr="00000000" w:rsidDel="00000000">
              <w:rPr>
                <w:sz w:val="24"/>
                <w:vertAlign w:val="superscript"/>
                <w:rtl w:val="0"/>
              </w:rPr>
              <w:t xml:space="preserve">4</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520 000 (+20 000)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540 000 (+40 000)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500 000 (+0)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520 000 (+20 000)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560 000 (+60 000)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560 000 (+60 000)</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Rādītāja vērtība sasniegta ātrāk, turpmāka uzraudzība netiek veikta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Jauna ražotnes izbūve (regulas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Būs zināms pēc nomas izsoles veikšanas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200 000</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300 000</w:t>
            </w:r>
          </w:p>
        </w:tc>
      </w:tr>
      <w:tr>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Darba algu fonda pieaugums projektā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40 000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500 000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bscript"/>
          <w:rtl w:val="0"/>
        </w:rPr>
        <w:t xml:space="preserve">Komersants, kas nodrošina projekta rādītāju vērtības. Vienā projektā var būt vairāki šādi komersanti. Katra komersanta bāzes gads, pret kuru vērtē darba algu fonda pieaugumu, var būt atšķirīgs, bet ne ātrāk par 2021.gadu. Piemēram, komersantam, kas izveidots 2023.gadā, bāzes gads būs 2023.gads;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vertAlign w:val="subscript"/>
          <w:rtl w:val="0"/>
        </w:rPr>
        <w:t xml:space="preserve"> Izmaksas, kas radušās komersantam, t.sk. darba devēja sociālais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vertAlign w:val="subscript"/>
          <w:rtl w:val="0"/>
        </w:rPr>
        <w:t xml:space="preserve">Projektā sasniedzamais rādītājs tiek sasniegts 2028.gadā, finansējuma saņēmējs iesniedz rādītāju pārskatu CFLA, līdz ar to turpmāka projekta rezultāta rādītāja izpildes kontrole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vertAlign w:val="subscript"/>
          <w:rtl w:val="0"/>
        </w:rPr>
        <w:t xml:space="preserve">Ja vērtība ir vienāda vai mazāka pret bāzes gadu, tad darba algu fonda pieaugums ir 0. Vērtības samazinājums kumulatīvajā aprēķinā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Atbalstāmās darbības un izmaksu attiecināmības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pasākuma ietvaros plānotās atbalstāmās darbības (ERAF finansējums 133 110 000 </w:t>
      </w:r>
      <w:r w:rsidR="00000000" w:rsidRPr="00000000" w:rsidDel="00000000">
        <w:rPr>
          <w:i w:val="1"/>
          <w:rtl w:val="0"/>
        </w:rPr>
        <w:t xml:space="preserve">euro</w:t>
      </w:r>
      <w:r w:rsidR="00000000" w:rsidRPr="00000000" w:rsidDel="00000000">
        <w:rPr>
          <w:rtl w:val="0"/>
        </w:rPr>
        <w:t xml:space="preserve">), ievērojot Programmā noteikto, atbilst intervences laukuma jomai Nr. 20 "MVU uzņēmējdarbības infrastruktūra (tostarp rūpniecības parki un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Projektu ietvaros attiecināmās izmaksas ir pakārtotas atbalstāmajām darbībām, kas ir galvenokārt saistītas ar uzņēmējdarbības mērķiem paredzētu teritoriju attīstīšanu, lai tās pielāgotu jaunu komersantu izvietošanai vai esošo paplašināšanai un veicinātu ekonomisko aktivitāti reģionos, attīstot un dažādojot uzņēmējdarbības vidi un veicinot nodarbinātību, paaugstinot produktivitāti un radot iespējas piesaistīt kvalificētu darbaspēku. Projektos attīstāma tāda infrastruktūra, kas primāri balstīta komersantu vajadzībās.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uzņēmējdarbības teritoriju norāda kartogrāfiskajā materiālā, ko pievieno projekta iesniegumam. Kartogrāfiskajā materiālā norāda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teritorijas atbilstību esošajai rūpnieciskajai teritorijai vai citai esošai vai jaunai uzņēmējdarbības attīstības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darbību īstenošanas vietu, tai skaitā industriālo pieslēgumu un funkcionālo savienojumu īstenošanas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komersantu atrašanos uzņēmējdarbības teritorijā un ārpus tās radīto rādītāju vietu (ja projekta iesniedzējs kartogrāfiskajā materiālā nosaka plašāku uzņēmējdarbības teritoriju, norāda informāciju par tiem komersantiem, kas nodrošinās projekta rādītājus. Uzņēmējdarbības teritorijā var iekļaut gan privātu, gan publisku īpašumu. Nodrošinot demarkāciju (darbību un izmaksu nepārklāšanos), pasākuma projektos norādītās uzņēmējdarbības teritorijas, kurās veiktas projekta darbības, nevar pārklāties ar Programmas 6.1.1.3. pasākuma "Atbalsts uzņēmējdarbībai nepieciešamās publiskās infrastruktūras attīstībai, veicinot pāreju uz klimatneitrālu ekonomiku" (turpmāk – 6.1.1.3. pasākums) un Atveseļošanas un noturības mehānisma plāna (turpmāk – AF plāns) 3.1.1.3.i. investīcijas "Investīcijas uzņēmējdarbības publiskajā infrastruktūrā industriālo parku un teritoriju attīstīšanai reģionos" (turpmāk – 3.1.1.3.i. investīcija) projektu teritorijām, kurās veiktas investīcijas infrastruktūrā. Uzņēmējdarbības teritorijā nenorāda lauksaimniecības zemes, mežu, ūdenstilpņu teritorijas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iekļautā informācija tiks vērtēta atbilstoši projektu iesniegumu atlases nolikumam, kurā norāda detalizētu informāciju par projektu iesniegumu atlases procesu, projektu iesniegumu vērtēšanas kritēriju piemērošanas metodiku, projekta iesnieguma aizpildīšanas metodiku, kā arī detalizētu sarakstu ar projekta iesniegumam pievienojamiem dokumentiem, piemēram, daži no tiem: apliecinājumi par komercdarbības nosacījumu ievērošanu, apliecinājums par projekta iesniedzēja un sadarbības partnera neatbilstību grūtībās nonākuša saimnieciskās darbības veicēja pazīmēm,  izmaksu un ieguvumu analīzes dokumenti, projekta iesniedzēja un sadarbības partnera informācija par saņemto un plānoto komercdarbības atbalstu.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plānots uzņēmējdarbības mērķiem paredzēto ēku un to saistītās infrastruktūras attīstīšanai; uzņēmējdarbības mērķiem paredzētās teritorijas labiekārtošanai, paredzot arī šīs teritorijas iekšējā dzelzceļa tīkla izveidi; sanācijas un remediācijas darbiem; industriālo pieslēgumu ierīkošanai (tai skaitā ūdensapgādes, siltumapgādes, elektroenerģijas pieslēgumiem); ceļu satiksmei paredzētās infrastruktūras attīstīšanai; inženiertehniskām sistēmām un iekārtām, kas uzkrāj vai ražo enerģiju no atjaunojamiem energoresursiem (turpmāk - AER) tai skaitā šo sistēmu un iekārtu funkcionalitātei nepieciešamo inženierbūvju būvniecībai, kas ir minēto sistēmu un iekārtu sastāvdaļa; komunikācijas un vizuālās identitātes prasību nodrošināšanas pasākumiem; projekta vadības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vienkāršotās izmaksas piemēro netiešajām izmaksām, kuras  atbilstoši Finanšu ministrijas vadlīnijām "Vadlīnijas par vienkāršoto izmaksu izmantošanas iespējām un to piemērošana Eiropas Savienības kohēzijas politikas programmas 2021.–2027.gadam ietvaros" ir projekta attiecināmās izmaksas, kas nav tieši saistītas ar projekta rezultātu sasniegšanu, bet atbalsta un nodrošina atbilstošus apstākļus projekta veicamo darbību realizācijai un projekta rezultātu sasniegšanai. Tās ir, piemēram, telpu īre un iekārtu izmantošanas izmaksas, kancelejas preces, komunālie un sakaru maksājumi, iestādes vadības un atbalsta struktūrvienību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tiešajām attiecināmajām izmaksām netiek piemērotas vienkāršotās izmaksas, jo pasākuma ietvaros plānoti apjomīgi infrastruktūras būvniecības projekti, kas izmaksu ziņā pārsniedz 200 000 </w:t>
      </w:r>
      <w:r w:rsidR="00000000" w:rsidRPr="00000000" w:rsidDel="00000000">
        <w:rPr>
          <w:i w:val="1"/>
          <w:rtl w:val="0"/>
        </w:rPr>
        <w:t xml:space="preserve">euro</w:t>
      </w:r>
      <w:r w:rsidR="00000000" w:rsidRPr="00000000" w:rsidDel="00000000">
        <w:rPr>
          <w:rtl w:val="0"/>
        </w:rPr>
        <w:t xml:space="preserve">, un projektu darbībām un izmaksām ir piemērojami komercdarbības atbalsta nosacījumi. Vienkāršoto izmaksu piemērošana tiešajām attiecināmajām izmaksām nav paredzēta arī, ņemot vērā pasākuma ietvaros iekļauto izmaksu dažādību. Projektu ietvaros iespējams atbalsts gan ūdenssaimniecības, siltumapgādes un elektroenerģijas  pieslēgumu ierīkošanai, gan satiksmes pārvadu, ielu un ceļu infrastruktūras attīstīšanai, kas ietver arī ielu apgaismojumu, "zaļos risinājumus", lietusūdens kanalizācijas risinājumus, u.c., gan uzņēmējdarbības mērķiem paredzēto ēku un to saistītās infrastruktūras attīstīšanai, gan dažādu teritoriju labiekārtošanai, gan ieguldījumiem inženiertehnisko sistēmu un iekārtu, kas uzkrāj vai ražo enerģiju no AER, tai skaitā šo sistēmu un iekārtu funkcionalitātei nepieciešamo inženierbūvju attīstīšanai, gan piesārņoto teritoriju remediācijas vai sanācijas pasākumiem, gan komunikācijas un vizuālās identitātes prasību nodrošināšanai, gan projekta vadības nodrošināšanai. Minētās darbības katrā projektā var kombinēt dažādi, ar ļoti atšķirīgu tehnisko izpildījumu, kā arī projektu iesniedzēji ir no visas Latvijas teritorijas, ar dažādos reģionos atšķirīgu būvdarbu un materiālu cenu līmeni. Attiecībā uz projekta vadības izmaksām VARAM 2021. gada 2. decembra seminārā "Pieredze Eiropas Savienības fondu 2014.-2020.gadam plānošanas perioda investīciju reģionālās attīstības jomā īstenošanā" veica aptauju, kuras laikā saņemts viedoklis no pašvaldībām, ka projekta vadības izmaksas projektos netiek paredzētas, jo projektiem pieejamais ierobežotais finansējums tiek maksimāli ieguldīts infrastruktūras attīstībā, kā arī tika sniegts pašvaldību skaidrojums, ka pašvaldības šo iespēju projektos izmantot projekta vadības  izmaksas Eiropas Savienības fondu 2014.-2020.gada plānošanas periodā pārsvarā nav izmantojušas. Piemēram, līdzšinējā pieredze rāda, ka Eiropas Savienības fondu 2014.-2020. gada plānošanas perioda darbības programmas "Izaugsme un nodarbinātība" 5.6.2.specifiskā atbalsta mērķa "Teritoriju revitalizācija, reģenerējot degradētās teritorijas atbilstoši pašvaldību integrētajām attīstības programmām" ietvaros, kas izmaksu ziņā ir saturiski līdzīgs pasākumam, bet pieejamais finansējums bija vēl lielāks nekā pasākumam, projekta vadības izmaksas tika izmantotas tikai piecos no 129 projektiem, kas veido 3.8 % </w:t>
      </w:r>
      <w:r w:rsidR="00000000" w:rsidRPr="00000000" w:rsidDel="00000000">
        <w:rPr>
          <w:i w:val="1"/>
          <w:rtl w:val="0"/>
        </w:rPr>
        <w:t xml:space="preserve">(Kohēzijas politikas fondu vadības informācijas sistēmas dati uz 04.09.2023)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Satiksmes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ielu un ceļu infrastruktūrai var plānot projekta iesniedzēja noteiktās uzņēmējdarbības teritorijas iekšējam satiksmes infrastruktūras tīklam. Atbalstāmi ir arī ielu vai ceļu posmi ārpus projekta iesniedzēja noteiktās uzņēmējdarbības teritorijas, kas ir plānojami kā funkcionālie savienojumi līdz projekta iesniedzēja noteiktajai uzņēmējdarbības teritorijai, bet attiecībā uz funkcionālajiem savienojumiem ir jāņem vērā šādi nosacījumi un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funkcionālais savienojums ir ielas vai ceļa posms, kurā tiek veiktas projekta darbības un kas nepārsniedz divu kilometru garumu līdz projekta iesniedzēja noteiktajai uzņēmējdarbības teritorijai (ja, piemēram, funkcionālo savienojumu šķērso dzelzceļa sliežu ceļš un ir izveidota pārbrauktuve, šo pārbrauktuves posmu ieskaita kopējā funkcionālā savienojuma garumā, kas nepārsniedz divu kilometru garumu);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starp funkcionālo savienojumu un projekta iesniedzēja noteikto uzņēmējdarbības teritoriju var būt komersantam apsaimniekošanā nodots ceļa posms, kurā netiek veiktas projekta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funkcionālo savienojumu un projekta iesniedzēja noteikto uzņēmējdarbības teritoriju var būt ielas vai ceļa posms (kas var būt piemēram, valsts īpašumā), kurā netiek veiktas projekta darbības, kas nav garāks par 400 metriem nacionālas un reģionālas nozīmes attīstības centros (pilsētās) un novadu teritorijā ārpus nacionālas un reģionālas nozīmes attīstības centriem. Gadījumā, ja funkcionālais savienojums (piemēram, Rūpniecības ielā) ir turpinājums tās pašas ielas (piemērā minētājā gadījumā – Rūpniecības ielas) vai tā paša ceļa posmam (ar to pašu nosaukumu) pie kura tiešā tuvumā atrodas uzņēmējdarbības teritorija, tad starp funkcionālo savienojumu un uzņēmējdarbības teritoriju var būt ielas vai ceļa posms, kurā netiek veiktas projekta darbības, kas nav garāks par 500 metriem nacionālas un reģionālas nozīmes attīstības centros (pilsētās) un 1500 metriem novadu teritorijā ārpus nacionālas un reģionālas nozīmes attīstības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 funkcionālo savienojumu un projekta iesniedzēja noteikto uzņēmējdarbības teritoriju var būt ielas vai ceļa posms, kurā netiek veiktas projekta darbības, ja funkcionālais savienojums ir vienīgā alternatīva nokļūšanai no projekta iesniedzēja noteiktās uzņēmējdarbības teritorijas līdz publisko ceļu tīklam.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minētie izņēmumi attiecībā uz ceļa vai ielas savienojuma posmu starp funkcionālo savienojumu un projekta iesniedzēja noteikto uzņēmējdarbības teritoriju paredzēti, lai neierobežotu projektos plānoto komersantu rādītāju ieskaitīšanu un dotu līdzvērtīgākas iespējas projektu iesniedzējiem projektu rādītāju sasniegšanai. Pilsētās nereti traucējošs elements ir šauras vienvirziena ielas, kas būtiski kavē un apgrūtina ikdienas darbību. Nereti uzņēmējdarbības teritorijās komersanti ir koncentrēti viens aiz otra un nav iespējams tiešs savienojums ar funkcionālo savienojumu. Mēdz būt arī situācijas, kur starp komersanta teritoriju un funkcionālo savienojumu, kas nepieciešams, lai komersants piekļūtu savai teritorijai, ir pašvaldībai vai kādai citai personai piederoša teritorija. Novadu teritorijās ārpus pilsētām komersantu izvietojums ir izkliedētāks un funkcionālā savienojuma sasaiste ar komersanta teritoriju ir lielākā attālumā nekā pilsētās.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infrastruktūras (ielas, ceļi un funkcionālie savienojumi) attīstīšanai paredzēto izmaksu ietvaros ir atbalstāmi "zaļie risinājumi", ar to saprotot, piemēram, koku, krūmu, dažādu augu stādījumus,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 Vienlaikus īstenojot satiksmes infrastruktūras attīstības projektus, lai nodrošinātu projektu ietvaros attīstītās infrastruktūras ilgtspēju, attiecināmajās izmaksās ir iekļaujamas arī vājstrāvu tīklu (sakaru kabeļu) rezerves cauruļu izmaksas, ja tās nav plānotas kāda konkrēta komersanta vajadzībām un tās potenciāli varēs izmantot jebkurš uzņēmums.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infrastruktūras projektu gadījumā (ja satiksmes infrastruktūrai nepiemēro komercdarbības atbalstu) pieļaujamas zemes iegādes izmaksas, nepārsniedzot 10 % no projekta kopējām attiecināmajām izmaksām. Zemes iegāde ir paredzēta, lai atvieglotu satiksmes infrastruktūras projektu realizāciju, piemēram, ja objektīvi nepieciešama publiski lietojama ceļa iztaisnošana vai paplašināšana.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Dzelzceļa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lietošanas dzelzceļa infrastruktūru projekta iesniedzēja noteiktajā uzņēmējdarbības teritorijā (turpmāk – iekšējais dzelzceļa tīkls) iespējams attīstīt atbilstoši Eiropas Komisijas 2014. gada 17. jūnija Regulas (ES) Nr. 651/2014,</w:t>
      </w:r>
      <w:r w:rsidR="00000000" w:rsidRPr="00000000" w:rsidDel="00000000">
        <w:rPr>
          <w:i w:val="1"/>
          <w:rtl w:val="0"/>
        </w:rPr>
        <w:t xml:space="preserve"> ar ko noteiktas atbalsta kategorijas atzīst par saderīgām ar iekšējo tirgu, piemērojot Līguma 107. un 108. pantu</w:t>
      </w:r>
      <w:r w:rsidR="00000000" w:rsidRPr="00000000" w:rsidDel="00000000">
        <w:rPr>
          <w:rtl w:val="0"/>
        </w:rPr>
        <w:t xml:space="preserve"> (turpmāk - regula Nr. 651/2014) 56. pantam (t.i., projektā attīstīto infrastruktūru – iekšējo dzelzceļa tīklu –  nododot nomā privātajiem komersantiem), ievērojot visus ar šo pantu saistītos nosacījumus, tai skaitā prasību, ka atbalstu saskaņā ar šo pantu nepiešķir mērķorientētai infrastruktūrai, t.i., atbilstoši regulas Nr. 651/2014 14.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dzelzceļa infrastruktūras savienojuma posma no publiskās dzelzceļa infrastruktūras līdz projekta iesniedzēja noteiktajai uzņēmējdarbības teritorijai (turpmāk – dzelzceļa savienojuma posms) attīstīšana projekta ietvaros ir iespējama,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dzelzceļa savienojuma posmu attīsta kā privāto dzelzceļa savienojuma posmu;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dzelzceļa savienojuma posma izmaksām jābūt saistītām ar projekta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dzelzceļa savienojuma posma izmaksas un ar to saistītās izmaksas (piemēram, projektēšana, autoruzraudzība, būvuzraudzība, nodošana ekspluatācijā) ir pilnībā finansējamas no projekta iesnieguma iesniedzēja finanšu resursiem, par kuriem nav saņemts nekāds komercdarbības atbalsts. ERAF finansējumu šīm izmaksām neplāno (attiecīgi noteikumu projektā netiek noteikti specifiski uzraudzības nosacījumi, tai skaitā attiecībā uz ieguldījumu īpašumtiesību veidiem), finansējuma saņēmējam grāmatvedībā šīs izmaksas ir jānodala no pārējām projekta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dzelzceļa savienojuma posmu publiskā dzelzceļa nodalījuma joslā izbūvē uz attīstītājam (projekta iesniedzējam vai projekta sadarbības partnerim) piešķirtas apbūves tiesības pamata, par kuru lēmumu pieņem Satiksmes ministrija, balstoties uz VAS "Latvijas dzelzceļš"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izskatītu jautājumu par atbalstu iekšējam dzelzceļa tīklam atbilstoši regulas Nr. 651/2014 56. pantam, projektam jāpievieno atbilstoši normatīvajiem aktiem būvniecības jomā izstrādāts un apstiprināts būvprojekts par dzelzceļa savienojuma posma izveidošanu, tai skaitā, ievērojot MK 2014. gada 2. septembra noteikumus Nr. 530 "Dzelzceļa būvnoteikumi". Dzelzceļa savienojuma posmam izstrādāts un apstiprināts būvprojekts, ko pievieno projektam, nepieciešams abos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projektā plānotas tikai iekšējā dzelzceļa tīkla izmaksas, lai pamatotu iekšējā dzelzceļa tīkla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projektā plānotas gan iekšējā dzelzceļa tīkla izmaksas, gan dzelzceļa savienojuma posma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Izbūvēto iekšējo dzelzceļa tīklu un dzelzceļa savienojuma posmu reģistrē, ievērojot MK  1998. gada 29. decembra noteikumus Nr. 489 "Dzelzceļa infrastruktūras (sliežu ceļu) valsts reģistrācijas un uzskaites kārtība". Šāda prasība ir saistīta ar projekta mērķu sasniegšanu un izveidotās infrastruktūras efektīvas apsaimniekošanas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Ēku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uzņēmējdarbības mērķiem paredzētās ēkas un to saistīto infrastruktūru, noteikts ierobežojums nesniegt atbalstu tādu ēku attīstīšanai, kur paredzēta izmitināšana, fiziskās labsajūtas uzlabošana (tai skaitā netiks atbalstīta ERAF finansējuma ieguldīšana infrastruktūrā, kurā paredzēta viesnīcu un spa  pakalpojumu sniegšana), sporta nodarbības, izklaides un atpūtas darbības, kā arī izglītības pakalpojumi. Attiecīgi nav plānots ieguldīt ERAF finansējumu tādu ēku attīstīšanai, kurās saimniecisko darbību veic vai nākotnē veiks komersants, kura saimnieciskā darbība atbilstoši Eiropas Parlamenta un Padomes 2006. gada 20. decembra Regulai (EK) Nr. 1893/2006 </w:t>
      </w:r>
      <w:r w:rsidR="00000000" w:rsidRPr="00000000" w:rsidDel="00000000">
        <w:rPr>
          <w:i w:val="1"/>
          <w:rtl w:val="0"/>
        </w:rPr>
        <w:t xml:space="preserve">ar ko izveido NACE 2. red. saimniecisko darbību statistisko klasifikāciju, kā arī groza Padomes Regulu (EEK) Nr. 3037/90 un dažas EK regulas par īpašām statistikas jomām</w:t>
      </w:r>
      <w:r w:rsidR="00000000" w:rsidRPr="00000000" w:rsidDel="00000000">
        <w:rPr>
          <w:rtl w:val="0"/>
        </w:rPr>
        <w:t xml:space="preserve">, ir saistīta ar kādu no šiem tautsaimniecības nozares NACE kodiem: "Izmitināšana" (NACE I sadaļa 55. nodaļa), "Fiziskās labsajūtas uzlabošanas pakalpojumi" (NACE S sadaļa 96.04. klase), sporta nodarbības, izklaides un atpūtas darbība (NACE R sadaļa 93. nodaļa)  un "Izglītība" (NACE P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Centrālās statistikas pārvaldes (turpmāk – CSP) datus, secināms, ka 2022. gadā Latvijas tūristu mītnēs apkalpoti 2,2 milj. ārvalstu un vietējo viesu, kas ir par 66,2 % vairāk nekā 2021. gadā, lai arī par 23,9 % mazāk nekā pirms Covid – 19 pandēmijas 2019. gadā. Viesi tūristu mītnēs 2022.gadā pavadīja 3,9 milj. nakšu, kas ir par 63,2% vairāk, salīdzinot ar 2021. gadu (datu avots CSP dati: </w:t>
      </w:r>
      <w:r w:rsidR="00000000" w:rsidRPr="00000000" w:rsidDel="00000000">
        <w:rPr>
          <w:i w:val="1"/>
          <w:rtl w:val="0"/>
        </w:rPr>
        <w:t xml:space="preserve">https://stat.gov.lv/lv/statistikas-temas/noz/turisms/preses-relizes/12254-latvijas-viesnicu-un-citu-turisma-mitnu-darbibas?themeCode=TU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dati liecina, ka gan Latvijā kopumā, gan valsts reģionos tūristu mītnes spēj nodrošināt pieprasījumu un nav novērojama tirgus nepilnība, lai pašvaldībām būtu jāfinansē savā īpašumā esošu viesnīcu un līdzīgu apmešanās vietu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ierobežojums izglītības iestāžu ēku atbalstam noteikts, ievērojot to, ka atbalsts šāda veida ēku attīstīšanai pieejams citu programmu un pasākumu ietvaros (piemēram, Programmas 4.2.1.7. pasākumā "Pirmsskolas izglītības iestāžu infrastruktūras attīstība"). Vienlaikus, tiek ņemts vērā, ka izglītības pakalpojumiem ir pieejams līdzfinansējums no pašvaldību vai valsts līdzekļiem, tādejādi papildu atbalsts 5.1.1.1. pasākuma ietvaros netiek sniegts.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Ierobežojums ēku atbalstam attiecas uz projektā plānotajām darbībām un izmaksām. Savukārt komersanta, kura pamatdarbība projekta īstenošanas vietā atbilst kādam no augstāk minētajiem NACE kodiem, rādītājus (darba algu fonds, nefinanšu investīcijas, komersantu skaits) var ieskaitīt projektā sasniedzamajos rādītājos. Tas pēc būtības ļaus, nekropļojot konkurenci, ko tieši aizliedz Līgums par Eiropas Savienības darbību, atbalstīt tādus komersantus, kuri ir pietiekami izvērtējuši riskus pašiem pilnībā veikt privātās investīcijas izmitināšanai, fiziskās labsajūtas uzlabošanai, sporta nodarbībām, izklaidei, atpūtai un izglītībai nepieciešamās infrastruktūras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AER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paredzētas izmaksass inženiertehnisko sistēmu un iekārtu iegādei un uzstādīšanai, kas uzkrāj vai ražo enerģiju no  AER, tai skaitā šādu sistēmu un iekārtu funkcionalitātei nepieciešamo inženierbūvju izmaksas, kas ir minēto sistēmu un iekārtu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AER iegūtās enerģijas" jeb "atjaunojamās enerģijas" definīcija minēta Eiropas Parlamenta un Padomes Direktīvas (ES) 2018/2001 (2018.gada 11.decembris) </w:t>
      </w:r>
      <w:r w:rsidR="00000000" w:rsidRPr="00000000" w:rsidDel="00000000">
        <w:rPr>
          <w:i w:val="1"/>
          <w:rtl w:val="0"/>
        </w:rPr>
        <w:t xml:space="preserve">par no atjaunojamajiem energoresursiem iegūtas enerģijas izmantošanas veicināšanu</w:t>
      </w:r>
      <w:r w:rsidR="00000000" w:rsidRPr="00000000" w:rsidDel="00000000">
        <w:rPr>
          <w:rtl w:val="0"/>
        </w:rPr>
        <w:t xml:space="preserve"> 2.panta 1.punktā. Spēkā esošais Enerģētikas likums, kas ir minētās direktīvas ieviešana nacionālajā līmenī, paredz, ka "atjaunojamie energoresursi" ir vēja, saules, ģeotermālā, viļņu, paisuma un bēguma, ūdens enerģija, kā arī aerotermālā enerģija (siltumenerģija, kura uzkrājas gaisā), ģeotermālā enerģija (siltumenerģija, kura atrodas zem cietzemes virsmas) un hidrotermālā enerģija (siltumenerģija, kura atrodas virszemes ūdeņos), atkritumu poligonu un notekūdeņu attīrīšanas iekārtu gāzes, biogāze un biomasa, līdz ar to noteikumu projektā ir atbalstāmas tādas inženiertehniskās sistēmas un iekārtas, kas enerģijas ražošanai izmanto Enerģētikas likuma 1.daļas 1.panta 1.punktā minētos AER.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ar atbalstāmām inženiertehniskām sistēmām un iekārtām, kas uzkrāj vai ražo enerģiju no AER, saprot jebkādas iekārtas, kas uzkrāj vai ražo enerģiju no AER un nodrošina saražotās enerģijas izmantošanu projekta ietvaros attīstītajai infrastruktūrai, piemēram, saules elektrostacija, ietverot saules paneļus un invertoru, ar pieslēgumu kopējam elektroapgādes tīklam vai bez šāda pieslēguma; vēja elektrostacija, ietverot vēja ģeneratoru un invertoru, ar pieslēgumu kopējam elektroapgādes tīklam vai bez šāda pieslēguma; saules kolektoru sistēma ar akumulācijas tvertni, siltumsūkņi (gaiss, ūdens, zeme), ārējie akumulatori, koksnes biomasas apkures katli, ņemot vērā nepieciešamību ievērot normatīvo aktu prasības gaisa kvalitātes jomā u.tml. Savukārt ar minēto inženiertehnisko sistēmu un iekārtu darbību saistītajām inženierbūvēm saprot tādas inženierbūves, kuras ir minēto inženiertehnisko sistēmu un iekārtu sastāvdaļa un bez kurām nav iespējama inženiertehnisko sistēmu un iekārtu darbība un funkcionēšana. Šādas inženierbūves var būt, piemēram, vēja ģeneratora pamati, masts, elektrosadales,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plānojot ar AER tehnoloģijām saistītos ieguldījumus, jāņem vērā vairāki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inženiertehnisko sistēmu un iekārtu, kas uzkrāj vai ražo enerģiju no AER, iegādes un uzstādīšanas izmaksām, tai skaitā šo sistēmu un iekārtu funkcionalitātei nepieciešamo inženierbūvju, kas ir iepriekš minēto sistēmu un iekārtu sastāvdaļa, būvniecības izmaksām, ir noteikts ierobežojums, ka minēto izmaksu apjoms projektā nevar pārsniegt 30% no projekta kopējām attiecināmajām izmaksām. Šāds ierobežojums noteikts, ņemot vērā investīciju mērķi attīstīt infrastruktūru uzņēmējdarbības vajadzībām (satiksmes infrastruktūra, ēkas, teritorijas, industriālie pieslēgumi), primāri attīstot tādu infrastruktūru, kas vistiešākā veidā saistīta ar projekta mērķu sasniegšanu. AER tehnoloģiju saražoto un uzkrāto enerģiju izmanto projekta ietvaros attīstītajai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AER ražošanu un uzkrāšanu saistītās sistēmas un iekārtas, tai skaitā arī inženierbūves,  ir kā papildinošs elements projekta ietvaros attīstītajai satiksmes, ēku, teritoriju un sabiedrisko pakalpojumu (ūdenssaimniecības un siltumapgādes)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attīstot projektā satiksmes infrastruktūru, jānodrošina, ka 100% no saražotās AER enerģijas tiek izmantota projektā attīstītajā infrastruktūrā. Šajā gadījumā ar AER ražošanu un uzkrāšanu saistītās inženiertehniskās sistēmas un iekārtas, tai skaitā arī inženierbūves, iekļauj satiksmes infrastruktūras izmaksās, piemērojot tām tādu pašu ERAF finansējuma atbalsta likmi kā satiksmes infrastruktūrai un var nepiemērot komercdarbības atbalsta nosacījumus (ja satiksmes infrastruktūra pēc tās būtības atbilst publiskas infrastruktūras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attīstot projektā sabiedrisko pakalpojumu infrastruktūru, ar AER ražošanu un uzkrāšanu saistītās inženiertehniskās sistēmas un iekārtas, tai skaitā arī inženierbūves,  kas paredzētas projektā attīstītajai sabiedrisko pakalpojumu infrastruktūrai, iekļauj sabiedrisko pakalpojumu infrastruktūras izmaksās ar nosacījumu, ka atjaunojamā enerģija 100% tiek izmantota projekta ietvaros ierīkotajai sabiedrisko pakalpojumu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attīstot projektā mērķorientētu infrastruktūru, piemēram, ēkas un teritorijas, kas pielāgotas konkrēta komersanta vajadzībām, piemērojot regulas Nr. 651/2014 14. panta nosacījumus, izmaksās var iekļaut komersanta vajadzībām pielāgoto ēku vai teritoriju attīstībai nepieciešamās AER inženiertehniskās sistēmas vai iekārtas, tai skaitā arī inženierbūves. Regulas Nr. 651/2014 14. panta ietvaros nav paredzēts atbalsts AER, tomēr, balstoties uz "eState aid WIKI" sistēmā 2018. gada 25.jūnijā publicēto Eiropas Komisijas atbildi Latvijai, atsevišķas ar atjaunojamās enerģijas ražošanu saistītās izmaksas var uzskatīt par attiecināmām izmaksām, ja tiek ievēroti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atjaunojamās enerģijas ieguve nav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atjaunojamās enerģijas ražošanas jauda ir pielāgota uzņēmuma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enerģijas avotu var pretendēt tikai uz ieguldījumiem, par kuriem būtu tiesības saņemt komercdarbības atbalstu, t.i. ieguldījumi ir saistīti ar Enerģētikas likumā minētajiem AER;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inženiertehnisko sistēmu un iekārtu iegādei un uzstādīšanai, kas uzkrāj vai ražo enerģiju no AER, tai skaitā šo sistēmu un iekārtu funkcionalitātei nepieciešamo inženierbūvju būvniecībai, kas ir iepriekš minēto sistēmu un iekārtu sastāvdaļa, nevar pārsniegt 30% no projekta izmaksām, kurām piemēro regulas Nr. 651/2014 14. 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attīstot projektā infrastruktūru (ēkas, teritorijas), kas nav pielāgota konkrēta komersanta vajadzībām un kur komersantu iesaistīs kā infrastruktūras nomnieku, ēku vai teritoriju attīstībai nepieciešamās AER inženiertehniskās sistēmas vai iekārtas, tai skaitā arī inženierbūves, atbalsta regulas Nr. 651/2014 41. panta ietvaros, savukārt ēkas vai teritorijas izmaksas atbalsta regulas Nr. 651/2014 56. panta ietvaros. Atbilstoši regulas Nr. 651/2014 41. panta 1.a punkta nosacījumiem AER ražošanas un uzkrāšanas komponentēm jābūt iekļautām viena projekta ietvaros vai uzkrāšanas komponentei jābūt savienotai ar atjaunojamās enerģijas ražošanas infrastruktūru. Vienlaikus jāievēro, ka akumulēšanas komponents katru gadu akumulē vismaz 75 % enerģijas no tieši pieslēgtas atjaunojamās enerģijas ražošanas iekārtas. Nosacījuma izpildes uzraudzības nodrošināšanas nolūkā projekta iesniedzējam ir pienākums ziņot sadarbības iestādei datus par gada griezumā akumulēto enerģiju.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projekta iesniegumu, projekta iesniedzējs un projekta sadarbības partneris apliecina, ka, ja projektā ir plānots atbalsts AER infrastruktūrai, projekta īstenošanas laikā nav plānota ienākumu gūšana no saražotās AER enerģijas pārdošanas.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Elektroenerģijas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infrastruktūras būvniecība vai pārbūve (jaudas palielināšana, apakšstaciju izbūve), izņemot elektrostaciju vai koģenerācijas staciju būvniecību,  ietver elektroenerģijas infrastruktūras pieslēgumus uzņēmējdarbības teritorijām, kurās plānota uzņēmējdarbības mērķiem nepieciešamo ēku vai teritoriju attīstīšana. Projekta rezultātā atbalstītie elektroenerģijas infrastruktūras objekti pēc projekta īstenošanas paliek sadales sistēmas operatora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plānotie ieguldījumi, tai skaitā arī ieguldījumi elektroenerģijas infrastruktūras pieslēgumiem, ir atbalstāmo darbību kopums, kas ir ieguldījumi, galvenokārt, pašvaldību vai komersantu infrastruktūras attīstībai, kas orientēti uz to, lai veicinātu saimniecisko aktivitāti reģionos, attīstītu un modernizētu uzņēmējdarbības attīstībai nepieciešamo infrastruktūru, tādejādi, nodrošinot labvēlīgus apstākļus gan komersantu attīstībai, gan jaunu darbavietu radīšanai un attīstībai attiecīgajās teritorijās. Ieguldījumi elektroenerģijas infrastruktūrā, kas paliek sadales sistēmas operatora īpašumā, ir uzskatāmi par ieguldījumu uzņēmējdarbības infrastruktūrā komersantu saimnieciskās darbības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infrastruktūru iepriekš zināmam komersantam, kurš projektā iesaistīsies kā projekta sadarbības partneris, plāno regulas Nr. 651/2014 14. panta atbalsta ietvaros. Sadales sistēmas operators projektā neiesaistās, bet nodrošina pakalpojumu, ierīkojot energoapgādes infrastruktūru, kā rezultātā komersants saņem piekļuvi sadales sistēmas operatora infrastruktūrai. Ja sadales sistēmas operators pie noteikta jaudas patēriņa pakalpojuma maksu atmaksā un komersants tādējādi saņem gan piekļuvi sadales sistēmas operatora infrastruktūrai, gan pakalpojuma maksas kompensāciju, kas faktiski ir atgriezts komersanta līdzfinansējums un ERAF finansējums, komersants ERAF daļas kompensāciju, ja tāda rodas, atmaksā projekta iesniedzējam, kurš to atmaksā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infrastruktūru, ja komersants iepriekš nav zināms, var plānot regulas Nr. 651/2014 56. panta atbalsta ietvaros. Projekta ietvaros attīstīto infrastruktūru (piemēram, uzņēmējdarbības mērķiem paredzēto ēku, kuras funkcionalitātes nodrošināšanai izveidots arī elektrības pieslēgums) izsoles kārtībā nodod nomā komersantam. Sadales sistēmas operators projektā neiesaistās. Komersants atbilstoši izsoles rezultātiem maksā nomas maksu. Projekta iesniedzējs finanšu analīzes (projekta iesniegumam pievienojamās izmaksu un ieguvumu analīzes sastāvdaļa) ietvaros veic neto ieņēmumu aprēķinu (no nomas ieņēmumiem), attiecīgi samazinot projekta deficīta likmi. Ja sadales sistēmas operators pie noteikta jaudas patēriņa pakalpojuma maksu komersantiem caur tarifu kompensē, komersanti atbilstoši izsoles rezultātiem maksā pašvaldībai nomas maksu un kompensāciju, kas saņemta no sadales sistēmas operatora.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Bezemisiju transportlīdzekļu, kas darbināmi ar elektroenerģiju, uzlādes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paredzēta bezemisiju transportlīdzekļu, kas darbināmi ar elektroenerģiju, uzlādes infrastruktūras izbūve ar izejas jaudu vismaz 150 kW (turpmāk - uzlādes infrastruktūra). Minēto infrastruktūru var plānot uzņēmējdarbības mērķiem paredzētu ēku vai teritoriju darbību ietvaros, kurām piemēro komercdarbības atbalsta nosacījumus atbilstoši regulas Nr.651/2014 14. pantam. Šāda projekta gadījumā komersants, kuram projekta ietvaros tiek veidota tā vajadzībām atbilstoša infrastruktūra, iesaistās projektā kā projekta sadarbības partneris, nodrošinot attiecīgo darbību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Uzlādes infrastruktūra ir atbalstāma tad,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ir nepieciešama komersanta vajadzībām savas saimnieciskās darbības nodrošināšanai, piemēram, darba transportlīdzekļu uzlādei, ražotnē izmantojamo transportlīdzekļu uzlādei,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atrodas uzņēmējdarbības teritorijā vai ir daļa no ēkas, tai skaitā palīgēkas, ko attīsta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nav paredzēts komercdarbības atbalsts specifiski uzlādes infrastruktūrai, līdz ar to uzlādes infrastruktūra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satiksmes infrastruktūras darbību ietvaros (arī kā "publiskā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tādu uzņēmējdarbības vajadzībām nepieciešamu ēku vai teritoriju attīstīšanai paredzētu darbību ietvaros, kuru rezultātā izveidotās uzņēmējdarbības vajadzībām nepieciešamās ēkas vai uzņēmējdarbības teritorijas plānots nodot nomā komersantam nomas izsoles veidā (regulas Nr. 651/2014 56. panta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Remediācijas un sanācijas darbi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atbalsts remediācijas un sanācijas darbu veikšanai, dodot iespēju publisko infrastruktūru uzņēmējdarbības vajadzībām attīstīt arī vietās, kurās izveidojies piesārņojums un kuras iekļautas piesārņoto un potenciāli piesārņoto vietu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Remediācijas un sanācijas darbi veicami likuma "Par piesārņojumu" ietvarā, vienlaikus piemērojot regulas Nr. 651/2014 45. panta nosacījumus videi nodarītā kaitējuma remediācijai un degradētu ekosistēmu sanācijai,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"remediācija" ir tādas vidiskās pārvaldības darbības kā kontaminantu vai barības vielu pārpalikuma piesaiste vai detoksifikācija no augsnes un ūdens ar mērķi likvidēt degradācijas avotus (atbilstoši regulas Nr. 651/2014 2. panta 121. punkta "a"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"sanācija" ir vidiskās pārvaldības darbības, kuru mērķis ir atjaunot ekosistēmas funkcionēšanas līmeni degradētās vietās nolūkā atjaunot un pastāvīgi nodrošināt ekosistēmu pakalpojumus, nevis panākt tādu bioloģisko daudzveidību un integritāti, kāda ir noteiktai dabiskai vai daļēji dabiskai atsauces ekosistēmai (atbilstoši regulas Nr. 651/2014 2. panta 121. punkta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651/2014 45. pantā iekļautajiem ierobežojumiem, tai skaitā atbalstāmas ir tikai tādas sanācijas un remediācijas darbības, kur projekta iesniedzējs vai projekta sadarbības partneris nav noteikts kā subjekts vai uzņēmums, kas ir atbildīgs par videi nodarīto kaitējumu, un remediācijas un sanācijas darbu veikšana projekta iesniedzējam vai projekta sadarbības partnerim nav juridisks pienākums. Atbalstu remediācijas un sanācijas darbiem var piešķirt arī tādā gadījumā, ja subjektu vai uzņēmumu, kas ir atbildīgs par videi nodarīto kaitējumu, nav iespējams noteikt vai tiem nevar likt segt 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remediācijas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Remediācijas un sanācijas darbu ieguldījumi plānojami, galvenokārt, kā kompleksi projekti, remediācijas un sanācijas darbības veicot pirms, piemēram, projektā paredzēto uzņēmējdarbības attīstībai nepieciešamo teritoriju vai ēku izveides.  Projektos jānodrošina komersantu skaita, darba algu fonda pieauguma un privāto nefinanšu investīciju rādītāji, kā arī jāņem vērā, ka līgumi par remediācijas un sanācijas darbu uzsākšanu noslēdzami tikai pēc projekta iesnieguma iesniegšanas sadarbības iestādē. Noteikumu projektā paredzētās monitoringa izmaksas ir tikai tādas monitoringa izmaksas, kas veicamas remediācijas un sanācijas darbu laikā un ir iekļautas sanācijas programmā. Atbalsts nav paredzēts monitoringam, ko veic pēcsanācijas monitoringa plāna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projektā remediācijas, sanācijas un, piemēram, teritorijas labiekārtošanas - cietā seguma laukuma izveides, ko nodos nomā komersantam atbilstoši Regulas Nr. 651/2014 56.pantam,  darbības ir veicamas secīgi, šajā piemērā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1.posms: remediācijas darbu ietvaros likvidēts piesārņojuma avots – demontētas piesārņojuma avota tvertnes, izrakta, attīrīta piesārņotā augsne, attīrīti gruntsūdeņi;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2.posms: sanācijas darbu ietvaros veikti aizbēršanas darbi ar attīrītu augsni;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3.posms: par projekta teritoriju valsts datu bāzē atjaunota informācija par projekta teritorijā veiktajiem remediācijas un sanācijas pasākumiem vai izdarīta atzīme par piesārņotās vietas kategorijas maiņu saskaņā ar MK 2001. gada 20. novembra noteikumiem Nr.483 "Piesārņoto un potenciāli piesārņoto vietu apzināšanas un reģistrācijas kārtība" (remediācijas un sanācijas darbi ir izpildīti atbilstoši sanācijas uzdevumam un sanācijas programmai un saskaņoti ar Valsts vides dienestu atbilstoši vides aizsardzību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4.posms: teritorijas labiekārtošanas rezultātā izveidots cietā seguma laukums, kas piemērots uzņēmējdarbības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5.posms: nomas izsoles rezultātā piesaistītais komersants cietā seguma laukumu izmanto savai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Komunikācijas un vizuālās identitātes prasību nodrošināšanas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lietotais termins "publicitātes pasākumi" aizstāts ar terminu "komunikācijas un vizuālās identitātes prasību nodrošināšanas pasākumi" atbilstoši Eiropas Parlamenta un Padomes regulas Nr.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47. un 50. pantam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un vizuālās identitātes prasību nodrošināšanas pasākumi infrastruktūras projektos ietver, cita starpā, sabiedrībai skaidri redzamas ilgtspējīgas plāksnes vai informācijas stendus, kur norādīta informācija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2023. gada 10. oktobrī sniegtajai atbildei Horvātijai "</w:t>
      </w:r>
      <w:r w:rsidR="00000000" w:rsidRPr="00000000" w:rsidDel="00000000">
        <w:rPr>
          <w:i w:val="1"/>
          <w:rtl w:val="0"/>
        </w:rPr>
        <w:t xml:space="preserve">eState aid WIKI</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sistēmā par komunikācijas un vizuālās identitātes prasību nodrošināšanas izmaksu attiecināšanu regulas Nr. 651/2014 14. panta ietvaros, izriet, ka "projekta atpazīstamības veicināšanas izmaksas" neatbilst regulas Nr. 651/2014 2. panta 29. un 30. punkta materiālo un nemateriālo izmaksu definīcijām, kā rezultātā tās nevar attiecināt regulas Nr. 651/2014 14. panta atbalsta ietvaros. Analoģiski komunikācijas un vizuālās identitātes prasību nodrošināšanas izmaksas nav attiecināmas regulas Nr. 651/2014 56. panta atbalsta ietvaros, ņemot vērā, ka arī atbilstoši regulas Nr. 651/2014 56. panta 5. punkta nosacījumiem attiecināmās izmaksas ir izmaksas par ieguldījumiem materiālajos un nemateriālajos aktīvos.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komunikācijas un vizuālās identitātes prasību nodrošināšanas pasākumu izmaksas par infrastruktūras darbībām, kurām piemērojami komercdarbības atbalsta nosacījumi atbilstoši regulai Nr. 651/2014, var tikt iekļauti projekta attiecināmajās izmaksās, nepiemērojot komercdarbības atbalsta nosacījumus. Šādā gadījumā komunikācijas un vizuālās identitātes prasību nodrošināšanas pasākumu darbības un izmaksas projektā ir jānodala no darbībām un izmaksām, kas ir saistītas ar komercdarbības atbalstu. Atbilstoši Eiropas Komisijas 2023.gada 18. aprīlī sniegtajai atbildei Horvātijai "</w:t>
      </w:r>
      <w:r w:rsidR="00000000" w:rsidRPr="00000000" w:rsidDel="00000000">
        <w:rPr>
          <w:i w:val="1"/>
          <w:rtl w:val="0"/>
        </w:rPr>
        <w:t xml:space="preserve">eState aid WIKI</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 sistēmā, publicēšanas prasības, ciktāl to mērķis ir atzīt Eiropas Savienības finansējuma izcelsmi un nodrošināt tā redzamību, Eiropas Komisijas ieskatā, nav komercdarbības atbalsts, jo dalībvalstij ir pienākums bez jebkādas rīcības brīvības nodrošināt "informāciju, saziņu un publicitāti" saskaņā ar ES tiesību aktiem (atbilstoši Eiropas Parlamenta un Padomes regulas 2021/241, </w:t>
      </w:r>
      <w:r w:rsidR="00000000" w:rsidRPr="00000000" w:rsidDel="00000000">
        <w:rPr>
          <w:i w:val="1"/>
          <w:rtl w:val="0"/>
        </w:rPr>
        <w:t xml:space="preserve">ar ko izveido Atveseļošanas un noturības mehānismu</w:t>
      </w:r>
      <w:r w:rsidR="00000000" w:rsidRPr="00000000" w:rsidDel="00000000">
        <w:rPr>
          <w:rtl w:val="0"/>
        </w:rPr>
        <w:t xml:space="preserve"> 34.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plāno darbības, kas balstītas komersantu pieprasījumā, vienlaikus, projekta iesniegumā sniedzot argumentētu pamatojumu par projekta ietvaros plānotās infrastruktūras nepieciešamību komersantiem, norādot informāciju, piemēram, par aptaujām, apspriedēm, lēmumiem, u.c. darbībām, kas liecina, ka projektā attīstāmā infrastruktūra ir balstīta komersantu pieprasījumā un nepieciešama komersanta esošās vai jaunas saimnieciskās darbības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par projektu iesniegumiem ar augstu gatavības pakāpi (t.i., ja uz projekta iesnieguma iesniegšanas brīdi ir pieņemts lēmums par iepirkuma rezultātiem) projekta iesniedzējs kopā ar projekta iesniegumu iesniedz publiskā iepirkuma dokumentācijas atbilstības pārbaudes lapu un iepirkuma norises atbilstības pārbaudes lapu, kas pieejamas CFLA tīmekļvietnē (</w:t>
      </w:r>
      <w:r w:rsidR="00000000" w:rsidRPr="00000000" w:rsidDel="00000000">
        <w:rPr>
          <w:i w:val="1"/>
          <w:rtl w:val="0"/>
        </w:rPr>
        <w:t xml:space="preserve">https://www.cfla.gov.lv/lv/paligs-finansejuma-sanemejiem/iepirkumi</w:t>
      </w:r>
      <w:r w:rsidR="00000000" w:rsidRPr="00000000" w:rsidDel="00000000">
        <w:rPr>
          <w:rtl w:val="0"/>
        </w:rPr>
        <w:t xml:space="preserve">). Minēto pārbaudes lapu iesniegšana neizslēdz veiktā iepirkuma pārbaudi un neatbilstību konstatējumus pēc vienošanās par projekta īstenošanu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un projekta sadarbības partnerim, ja tādu pieaicina, projekta īstenošanai ir jānodrošina pietiekama īstenošanas un finanšu kapacitāte, tai skaitā, nodrošinot līdzekļus projekta ietvaros attīstītās infrastruktūras uzturēšanai pēc projekta īstenošanas pabeigšanas, infrastruktūras dzīves cikla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nodrošina komunikācijas un vizuālās identitātes prasības saskaņā ar regulas Nr. 2021/1060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ERAF finansējuma saņemšanas nosacījumus, ievērojot komercdarbības atbalsta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var kombinēt gan tādas darbības un izmaksas, kurām ir piemērojami komercdarbības atbalsta nosacījumi, gan tādas darbības un izmaksas, kurām nav nepieciešams piemērot komercdarbības atbalsta nosacījumus, ievērojot darbību un izmaksu nodalīšanu. Attiecīgajos ar komercdarbības atbalstu saistītajos nosacījumos ir iekļautas atsauces uz konkrētām attiecināmo izmaksu pozīcijām, kuras ir atbalstāmas katra konkrētā komercdarbības atbalsta ietvaros (piemēram, ēku attīstības izmaksas, iznomājamo vai konkrēta komersanta interesēs izveidojama laukuma, tai skaitā bezemisiju transportlīdzekļu, kas darbināmi ar elektroenerģiju, uzlādes infrastruktūras izbūve, vai satiksmes infrastruktūra, uzņēmējdarbības teritorijā iekšējā dzelzceļa tīkla infrastruktūra, ūdenssaimniecības un siltumapgādes sabiedrisko pakalpojumu pieslēgumi, elektroenerģijas pieslēgumi, AER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tiks veiktas, piemērojot šādu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 651/2014 14. pantā paredzētais reģionālais atbalsts tiek piešķirts saskaņā ar MK 2021. gada 2.novembra noteikumiem Nr. 729 "Noteikumi par reģionālās attīstības atbalstu Latvijas Republikā līdz 2027. gadam" (SA.100587), pamatojoties uz statistiskajiem reģioniem (NUTS 3. līmenis), kādi noteikti MK rīkojumā Nr. 911 "Par Latvijas Republikas statistiskajiem reģioniem un tajos ietilpstošajām administratīvajām vienībām", kuri bija spēkā uz SA.100587 apstiprināšanas brīdi un, kuri ir piemērojami saistībā ar SA.100587 piemērošanu līdz 2027. gada 31. decembrim. Līdz ar to Pierīgas reģions, tai skaitā, Ogres novads, Limbažu novads, Saulkrastu novads un Tukuma novads atbalstu saskaņā ar regulas Nr. 651/2014 14. pantu var saņemt kā Pierīgas statistiskajam reģionam piekritīgas administratīvās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651/2014 14. pantu "Reģionālais ieguldījumu atbalsts", t.i. atbalsts, kuru piemēro projekta darbībām, kas pielāgotas konkrēta komersanta vajadzībām un privātais komersants piedalās projektā kā sadarbības partneris un ir komercdarbības atbalsta saņēmējs, iesaistās projektēšanā, būvniecības procesā, nodrošina līdzfinansējumu šīm darbībām (piemēram, komersanta biznesa specifikai pielāgota ēka, teritorija, satiksmes infrastruktūra, stāvlaukums, elektroenerģijas pieslēgums). Projektā, kuru iesniedz pašvaldība, piesaistot komersantu kā sadarbības partneri, atsevišķos gadījumos var paredzēt tikai privātā komersanta infrastruktūras attīstībai nepieciešamās darbības, tomēr projekti kopumā veidojami kā kompleksa infrastruktūra, viena projekta ietvaros kombinējot, piemēram, publiski pieejamu satiksmes infrastruktūru papildinājumā ar komersanta infrastruktūru (ievērojot projekta darbību un izmaksu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651/2014 14. panta atbalstu piešķir sākotnējiem ieguldījumiem regulas Nr. 651/2014  2. panta 49. punkta izpratnē, proti, "sākotnējais ieguldījums" ir viens no 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ieguldījums materiālajos un nemateriālajos aktīvos, kas attiecas uz vienu vai vairākām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jaunas uzņēmējdarbības vietas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esošas uzņēmējdarbības vietas jaudas palielināšana;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izlaides dažādošana attiecīgajā uzņēmējdarbības vietā ar produktiem vai pakalpojumiem, kas iepriekš tur netika ražoti vai sniegti,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produktu vai pakalpojumu, uz kuriem attiecas ieguldījums attiecīgajā uzņēmējdarbības vietā, vispārējā ražošanas procesa vai attiecīgi vispārējās sniegšanas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tādai uzņēmējdarbības vietai piederošu aktīvu iegāde, kas ir slēgta vai tiktu slēgta, ja tā netiktu nopirkta. Uzņēmuma kapitāldaļu parasta iegāde nekvalificējas kā sākotnējais ieguldījums. Tādējādi aizstāšanas ieguldījums nav uzskatāms par sākotnējo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651/2014 14. pants paredz, ka minētā komercdarbības atbalsta saņēmējs pēdējo divu gadu laikā pirms pieteikšanās uz atbalstu (t.i. divu gadu laikā pirms projekta iesnieguma iesniegšanas sadarbības iestādē) nevar būt veicis pārcelšanu uz uzņēmējdarbības vietu, kurā tiks veikts sākotnējais ieguldījums, kuram pieprasīts atbalsts (t.i. vietu, kur tiks īstenotas projekta darbības), un neveiks pārcelšanu arī divus gadus pēc tam, kad ir pabeigts projekts. Atbilstoši Regulas Nr. 651/2014 2.panta 61.a punktam pārcelšana ir tādas pašas vai līdzīgas darbības vai tās daļas pārvietošana no uzņēmējdarbības vietas vienā EEZ līguma līgumslēdzējā pusē (t.i. sākotnējā uzņēmējdarbības vieta) uz uzņēmējdarbības vietu, kurā tiek veikts atbalstītais ieguldījums (t.i. vietu, kur tiks īstenots projekts), citā EEZ līguma līgumslēdzējā pusē. Pārvietošana notiek, ja produkts vai pakalpojums sākotnējā vai atbalstītajā uzņēmējdarbības vietā (t.i. projekta īstenošanas vietā) vismaz daļēji kalpo tādiem pašiem mērķiem un apmierina tāda paša veida klientu prasības vai vajadzības un tajā pašā vai līdzīgā darbībā vienā no saņēmēja sākotnējām uzņēmējdarbības vietām EEZ tiek zaudētas darbvietas.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Nr. 651/2014 41. panta "Ieguldījumu atbalsts, lai veicinātu enerģijas ražošanu no atjaunojamiem resursiem" atbalsts, kuru piemēro projektā plānotajām ar AER enerģijas ražošanu un uzkrāšanu saistītajām inženiertehnisko sistēmu un iekārtu izmaksām, tai skaitā šo sistēmu un iekārtu funkcionalitātei nepieciešamo inženierbūvju, kas ir iepriekš minēto sistēmu un iekārtu sastāvdaļa, izmaksām, kas plānotas kā papildinoša komponente projekta ietvaros attīstāmajai infrastruktūrai (piemēram, ēkas, teritorijas), uz kuru piemēro komercdarbības atbalsta nosacījumus atbilstoši regulas Nr. 651/2014 56.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regulas Nr. 651/2014 45. pantam "Ieguldījumu atbalsts videi nodarītā kaitējuma remediācijai, dabisko dzīvotņu un ekosistēmu sanācijai, bioloģiskās daudzveidības aizsardzībai un atjaunošanai vai dabā balstīto risinājumu īstenošanai nolūkā panākt klimatadaptāciju un klimata pārmaiņu mazināšanos", t.i. atbalsts, kuru piemēro vēsturiski piesārņotu vietu remediācijas un sanācijas izmaksām, lai sagatavotu teritoriju projektā plānotai satiksmes infrastruktūras attīstībai vai arī uzņēmējdarbības mērķiem paredzēto teritoriju vai ēku attīstībai, kurām piemēro regulas Nr. 651/2014 14. vai 56. panta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regulas Nr. 651/2014 56. panta "Ieguldījumu atbalsts vietējai infrastruktūrai", atbalsts, kuru piemēro projekta darbībām, kas nav pielāgotas konkrēta komersanta vajadzībām, t.i. nav mērķorientēta infrastruktūra (piemēram, ēka, teritorija, satiksmes infrastruktūra, stāvlaukums, uzņēmējdarbības teritorijas iekšējais dzelzceļa tīkls, elektroenerģijas pieslēgums). Projekta īstenošanā komersantu neiesaista, bet projektā izveidoto infrastruktūru nodod komersantam nomā. Komersantu, kurš nomās no finansējuma saņēmēja projekta ietvaros attīstīto teritoriju vai ēku un ar tām saistīto infrastruktūru, izvēlas atklātā, caurskatāmā un nediskriminējošā veidā, par infrastruktūras izmantošanu nosakot tirgus cenu. Ja projektā  ir plānotas darbības,  tādas infrastruktūras izbūvei, kas ir pielāgota konkrēta komersanta biznesa specifikai, šādā gadījumā komersantu var iesaistīt projektā kā sadarbības partneri, piemērojot nosacījumus atbilstoši Regulas Nr. 651/2014 14.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metodiski stiprinātu pašvaldību speciālistu kapacitāti valsts atbalsta tiesiskā regulējuma piemērošanā un nākotnē pašvaldības izvairītos no nekorektas Regulas Nr. 651/2014 56. panta (nomas infrastruktūra, komersants iepriekš nav zināms) piemērošanas un interpretācijas, ar Ministru kabineta 17.10.2023. sēdes  protokollēmumu (Nr. 52 23. § 3.punkts) tika noteikts uzdevums: “Finanšu ministrijai sadarbībā ar Vides aizsardzības un reģionālās attīstības ministriju sagatavot vadlīnijas (metodisko materiālu) par Eiropas Komisijas 2014. gada 17. jūnija Regulas (ES) Nr. 651/2014, ar ko noteiktas atbalsta kategorijas atzīst par saderīgām ar iekšējo tirgu, piemērojot Līguma 107. un 108. pantu, 56. panta "Ieguldījumu atbalsts vietējai infrastruktūrai" piemērošanu uzņēmējdarbībai nepieciešamās publiskās infrastruktūras gadījumā, īpaši attiecībā uz nosacījumu, ka atbrīvojumu nepiešķir mērķorientētai infrastruktūrai, un  finanšu ministram informēt Ministru kabinetu par vadlīniju pieejamību”.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minētās vadlīnijas ir izstrādātas, iesaistot Latvijas Pašvaldību savienību, Latvijas Lielo pilsētu asociāciju, saskaņotas ar Finanšu ministrijas Komercdarbības kontroles departamentu, Finanšu ministrijas Eiropas Savienības fondu revīzijas departamentu, Eiropas Prokuratūras pārstāvjiem un ir viesiem publiski pieejamas Centrālās finanšu un līgumu aģentūras tīmekļu vietnē: https://www.cfla.gov.lv/lv/pasvaldibam-komisijas-regulas-nr-6512014-56-panta-piemerosana-risku-vadibai-es-fondu-projektos. Vadlīnijās sniegti skaidrojumi un ieteikumi (arī piemēru veidā), uzsvērti godīgas konkurences principi, kā arī apskatīti galvenie riski, un tie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neatbilstoša komunikācija ar komersantiem, kā rezultātā kādam no tiem rodas priekšrocība;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dokumentācija, kurā ietvertas priekšrocības konkrētiem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diskriminējošs nomas tiesību izsoles process un nomas tiesību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pielāgojumi infrastruktūrā, kas izslēdz citu komersantu interesi par potenciālo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651/2014 2. panta 33. apakšpunktu "mērķorientēta infrastruktūra" ir infrastruktūra, kas izbūvēta iepriekš nosakāmam(-iem) uzņēmumam(-iem) un pielāgota tā (to) vajadzībām. Regulas Nr. 651/2014 56. pants paredz, ka atbalsta summa nepārsniedz starpību starp attiecināmajām izmaksām un pamatdarbības peļņu no ieguldījuma. Atbilstoši Regulas Nr. 651/2014 2.panta 39. apakšpunktam "pamatdarbības peļņa" ir visa ieguldījumu saimnieciskā perioda (t.i. visa projekta dzīves cikla laikā) diskontēto ieņēmumu un diskontēto pamatdarbības izmaksu starpība, ja tā ir pozitīva. Pamatdarbības izmaksas ietver tādas izmaksas kā izmaksas par personālu, materiāliem, no apakšuzņēmējiem saņemtajiem pakalpojumiem, komunikācijām, energoresursiem, uzturēšanu, īri, administrāciju, bet neietver amortizācijas atskaitījumus un finansēšanas izmaksas, ja tie ir segti no ieguldījumu atbalsta. Ieņēmumu un pamatdarbības izmaksu diskontēšana ar piemērotu diskonta likmi dod iespēju gūt samērīgu peļņu;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norādītais projekta dzīves cikls (projekta pārskata periods, ieguldījumu lietderīgais izmantošanas laiks jeb ieguldījumu amortizācijas periods) tiek noteikts atbilstoši Komisijas 2014.gada 3.marta Deleģētās Regulas (ES) Nr. 480/2014,</w:t>
      </w:r>
      <w:r w:rsidR="00000000" w:rsidRPr="00000000" w:rsidDel="00000000">
        <w:rPr>
          <w:i w:val="1"/>
          <w:rtl w:val="0"/>
        </w:rPr>
        <w:t xml:space="preserve">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rsidR="00000000" w:rsidRPr="00000000" w:rsidDel="00000000">
        <w:rPr>
          <w:rtl w:val="0"/>
        </w:rPr>
        <w:t xml:space="preserve"> I pielikumam "15. panta 2. punktā minētie pārskata periodi", kas piemērojams atkarībā no projekta investīciju jomas. Saskaņā ar minētās regulas I pielikumu, piemēram, uzņēmējdarbības infrastruktūrai projekta pārskata periods jeb dzīves cikls ir noteikts 10 – 15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i w:val="1"/>
          <w:rtl w:val="0"/>
        </w:rPr>
        <w:t xml:space="preserve">De minimis </w:t>
      </w:r>
      <w:r w:rsidR="00000000" w:rsidRPr="00000000" w:rsidDel="00000000">
        <w:rPr>
          <w:rtl w:val="0"/>
        </w:rPr>
        <w:t xml:space="preserve">atbalsts tiks sniegts saskaņā ar 2013. gada 18. decembra Komisijas Regulu (ES) Nr. 1407/2013 </w:t>
      </w:r>
      <w:r w:rsidR="00000000" w:rsidRPr="00000000" w:rsidDel="00000000">
        <w:rPr>
          <w:i w:val="1"/>
          <w:rtl w:val="0"/>
        </w:rPr>
        <w:t xml:space="preserve">par Līguma par ES darbību 107. un 108.panta piemērošanu de minimis atbalstam </w:t>
      </w:r>
      <w:r w:rsidR="00000000" w:rsidRPr="00000000" w:rsidDel="00000000">
        <w:rPr>
          <w:rtl w:val="0"/>
        </w:rPr>
        <w:t xml:space="preserve">(turpmāk - regula Nr. 1407/2013). </w:t>
      </w:r>
      <w:r w:rsidR="00000000" w:rsidRPr="00000000" w:rsidDel="00000000">
        <w:rPr>
          <w:i w:val="1"/>
          <w:rtl w:val="0"/>
        </w:rPr>
        <w:t xml:space="preserve">De minimis </w:t>
      </w:r>
      <w:r w:rsidR="00000000" w:rsidRPr="00000000" w:rsidDel="00000000">
        <w:rPr>
          <w:rtl w:val="0"/>
        </w:rPr>
        <w:t xml:space="preserve">atbalstu piemēro projekta iesnieguma sagatavošanas izmaksām, kas saistītas ar tām būvniecības darbībām, kurām plānots komercdarbības atbalsts saskaņā ar Regulas Nr.651/2014 14., 41., 45. un 56. pantu. Projekta iesnieguma sagatavošanas izmaksās var plānot arī tirgus izpētes izmaksas (saskaņā ar pakalpojuma līgumu), kuras rezultāti izmantojami projekta nepieciešamības pamatošanai, infrastruktūras attīstības tehnisko risinājumu izstrādei vai projekta ekonomiskā pamatojuma analīzes sagatavošanai, īpaši komercdarbības atbalsta gadījumos mērķorientētas infrastruktūras risku mazināšanai un secinājumiem, ka projekts īstenojams noteiktā nozarē. Atbilstoši regulas Nr.1407/2013 nosacījumiem kopējais </w:t>
      </w:r>
      <w:r w:rsidR="00000000" w:rsidRPr="00000000" w:rsidDel="00000000">
        <w:rPr>
          <w:i w:val="1"/>
          <w:rtl w:val="0"/>
        </w:rPr>
        <w:t xml:space="preserve">de minimis </w:t>
      </w:r>
      <w:r w:rsidR="00000000" w:rsidRPr="00000000" w:rsidDel="00000000">
        <w:rPr>
          <w:rtl w:val="0"/>
        </w:rPr>
        <w:t xml:space="preserve">apmērs, ko var piešķirt vienam uzņēmuma triju fiskālo gadu periodā ir 200 000 </w:t>
      </w:r>
      <w:r w:rsidR="00000000" w:rsidRPr="00000000" w:rsidDel="00000000">
        <w:rPr>
          <w:i w:val="1"/>
          <w:rtl w:val="0"/>
        </w:rPr>
        <w:t xml:space="preserve">euro</w:t>
      </w:r>
      <w:r w:rsidR="00000000" w:rsidRPr="00000000" w:rsidDel="00000000">
        <w:rPr>
          <w:rtl w:val="0"/>
        </w:rPr>
        <w:t xml:space="preserve">. Sanācijas un remediācijas darbiem nepieciešamās sanācijas programmas izstrādes izmaksas nav paredzēts iekļaut projekta attiecināmajās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komercdarbības atbalsts sabiedriskajiem pakalpojumiem (ūdenssaimniecība un siltumapgāde) tiks sniegts saskaņā ar Eiropas Komisijas 2011. gada 20. decembra lēmumu Nr. 2012/21/ES </w:t>
      </w:r>
      <w:r w:rsidR="00000000" w:rsidRPr="00000000" w:rsidDel="00000000">
        <w:rPr>
          <w:i w:val="1"/>
          <w:rtl w:val="0"/>
        </w:rPr>
        <w:t xml:space="preserve">par Līguma par ES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Ņemot vērā normatīvo aktu specifiku, t.sk. Pievienotās vērtības nodokļa likuma regulējumu un vērtējuma noteikšanu mantiskajam ieguldījumam pamatkapitālā, sabiedrisko pakalpojumu sniedzēju projektā iesaista kā sadarbības partneri un tas priekšfinansē sabiedrisko pakalpojumu infrastruktūras izmaksas, tai skaitā projektēšanu, būvdarbus, būvuzraudzību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atbalstāmas ir darbības, kas attiecas uz sabiedrisko ūdenssaimniecības un siltumapgādes pakalpojumu infrastruktūras būvniecību vai pārbūvi. Arī siltumapgādes jomā publiskie finanšu resursi ir novirzāmi centralizētās siltumapgādes pakalpojumu attīstīšanai ar mērķi samazināt oglekļa dioksīda (turpmāk – CO</w:t>
      </w:r>
      <w:r w:rsidR="00000000" w:rsidRPr="00000000" w:rsidDel="00000000">
        <w:rPr>
          <w:vertAlign w:val="subscript"/>
          <w:rtl w:val="0"/>
        </w:rPr>
        <w:t xml:space="preserve">2</w:t>
      </w:r>
      <w:r w:rsidR="00000000" w:rsidRPr="00000000" w:rsidDel="00000000">
        <w:rPr>
          <w:rtl w:val="0"/>
        </w:rPr>
        <w:t xml:space="preserve"> ) emisijas, īstenot maksimāli klimatneitrālus pasākumus, kas nodrošina vides aizsardzības prasību ievērošanu iespējami augstākā līmenī.  Ja paredzēts būvēt vai pārbūvēt ūdenssaimniecības un siltumapgādes pakalpojumu infrastruktūru, tad obligāti priekšnosacījumi ir, ka sabiedrisko ūdenssaimniecības un siltumapgādes pakalpojumu sniedzējs ir projekta iesnieguma iesniedzēja sadarbības partneris, izņemot infrastruktūras bojāšanas riska gadījumos, un, ka projekta īstenošanas rezultātā izveidotā infrastruktūra ir sabiedrisko pakalpojumu sniedzēja īpašumā. Gadījumos, kad sabiedriskā pakalpojuma sniegšanai nepieciešamie inženiertīkli (ūdenssaimniecības un siltumapgādes tīkli) tiek izbūvēti pa privātpersonai piederošu zemes īpašumu, to izbūvi veic, ievērojot būvnormatīvos noteiktās prasības un līdz noslēguma maksājuma veikšanai izbūvētos inženiertīklus kā zemes īpašuma apgrūtinājumu reģistrē Nekustamā īpašuma valsts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izmaksām, kurām ar komercdarbības atbalstu saistītie nosacījumi nav piemērojami (tās ir publiski pieejamās satiksmes infrastruktūras izmaksas, tai skaitā pievedceļi, stāvlaukumi un zemes iegādes izmaksas (tikai publiskās satiksmes infrastruktūras gadījumā (neattiecas uz bezemisiju transportlīdzekļu, kas darbināmi ar elektroenerģiju, uzlādes infrastruktūru, jo uz to ir piemērojami komercdarbības atbalsta nosacījumi)), ja infrastruktūras objekti atbilst publiskas infrastruktūras pazīmēm,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infrastruktūra pieder publiskai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infrastruktūras lietošanu netiks iekasēta maksa, tā būs brīvi pieejama jebkuram sabiedrības loceklim;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infrastruktūra netiek pielāgota konkrēta komersanta biznesa specifikai,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pārkāpumu risku mazināšanai, noteikumu projektā ietverti ierobežojumi īpašumtiesību veidiem, kādos pieļaujami projekta ieguldījumi. Publiskas personas gadījumā  projektā plānotās izmaksas, uz kurām ir attiecināmi komercdarbības atbalsta nosacījumi, publiskā persona var veikt savā vai valdījumā esošā īpašumā, kura īpašnieks ir publiska persona. Savukārt, piemēram, satiksmes infrastruktūras projektu gadījumā (darbībām, kurām nav piemērojams komercdarbības atbalsts) satiksmes infrastruktūru var izbūvēt uz zemes, kura ir nodota publiskās personas valdījumā, bet pieder privātpersonai. Šāds izņēmums paredzēts, lai nepieciešamības gadījumā pašvaldība, izvērtējot riskus, kā zemes iegādes alternatīvu projekta satiksmes infrastruktūras darbību īstenošanai varētu izvēlēties veikt ieguldījumus valdījumā esošā īpašumā, tādejādi saīsinot īpašumtiesību sakārtošanai nepieciešamo laiku un paātrinot projektu ātrāku īstenošanu un projekta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Izmaksu attiecināšanas brīdis un </w:t>
      </w:r>
      <w:r w:rsidR="00000000" w:rsidRPr="00000000" w:rsidDel="00000000">
        <w:rPr>
          <w:rtl w:val="0"/>
        </w:rPr>
        <w:t xml:space="preserve">"</w:t>
      </w:r>
      <w:r w:rsidR="00000000" w:rsidRPr="00000000" w:rsidDel="00000000">
        <w:rPr>
          <w:u w:val="single"/>
          <w:rtl w:val="0"/>
        </w:rPr>
        <w:t xml:space="preserve">darbu 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šādus nosacījumus izmaksu attiecināšanai un "darbu sākumam":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izmaksas, kurām piemēro komercdarbības atbalstu regulas Nr. 651/2014 14., 41., 45., 56. panta ietvaros, piemēram, izmaksas, kas ir saistītas ar remediācijas darbiem, sanācijas darbiem, teritoriju, ēku būvdarbiem, autoruzraudzību, būvuzraudzību - ir attiecināmas tikai tad, ja izmaksas ir veiktas pēc projekta iesnieguma iesniegšanas sadarbības iestādē, kā arī ar šīm darbībām saistītos līgumus var slēgt un ar ieguldījumiem saistītos darbus var uzsākt tikai pēc projekta iesnieguma iesniegšanas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Augstākminētie nosacījumi paredzēti, lai attiecībā uz izmaksām, kurām piemērojami regulas Nr.651/2014 nosacījumi, izpildītu Komisijas regulas Nr. 651/2014 6. panta 2. punktā minēto stimulējošās ietekmes prasību un ievērotu Komisijas regulas Nr. 651/2014 2. panta 23. punktā noteikto nosacījumu par "darbu sākumu". Atbilstoši Komisijas regulas Nr. 651/2014 2. panta 23. punktam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izmaksas, kurām nepiemēro komercdarbības atbalstu (piemēram, publiskas ielas, ceļa būvdarbi, autoruzraudzība, būvuzraudzība), un izmaksas sabiedrisko pakalpojumu infrastruktūrai (piemēram, ūdenssaimniecības un siltumapgādes pieslēgumu būvdarbiem, autoruzraudzībai, būvuzraudzībai) – ir attiecināmas, ja tās ir veiktas pēc 2021.gada 1.janvāra un var būt veiktas gan pirms, gan pēc projekta iesnieguma iesniegšanas sadarbības iestādē. Attiecīgi ar šīm izmaksām saistītie līgumi (tai skaitā būvdarbu līgumi) var būt noslēgti pirms projekta iesnieguma iesniegšanas sadarbības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izmaksas, kas ir saistītas ar projekta iesnieguma sagatavošanas izmaksām (tai skaitā projektēšanas izmaksām), netiešajām izmaksām un projekta vadības personāla izmaksām, kas radušās uz darba līguma pamata, un zemes iegādes izmaksām - ir attiecināmas, ja tās ir veiktas pēc 2021.gada 1.janvāra. Attiecīgi arī ar minētajām izmaksām saistītie līgumi var būt noslēgti pirms projekta iesnieguma iesniegšanas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kur būvniecības darbībām piemēro komercdarbības atbalsta regulas Nr.651/2014 14., 41., 45. un 56. panta nosacījumus, projekta iesnieguma sagatavošanas izmaksas attiecina kā </w:t>
      </w:r>
      <w:r w:rsidR="00000000" w:rsidRPr="00000000" w:rsidDel="00000000">
        <w:rPr>
          <w:i w:val="1"/>
          <w:rtl w:val="0"/>
        </w:rPr>
        <w:t xml:space="preserve">de minimis</w:t>
      </w:r>
      <w:r w:rsidR="00000000" w:rsidRPr="00000000" w:rsidDel="00000000">
        <w:rPr>
          <w:rtl w:val="0"/>
        </w:rPr>
        <w:t xml:space="preserve"> atbalstu, un izmaksas var būt veiktas pēc 2021.gada 1.janvāra, pirms projekta iesnieguma iesniegšanas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projektu vai projekta daļu, kurai piemēro komercdarbības atbalsta regulas Nr.651/2014 14., 41., 45. un 56. panta nosacījumus, projekta vadības personāla atlīdzības izmaksas var attiecināt tikai pēc projekta iesnieguma iesniegšanas sadarbības iestādē ar nosacījumu, ka šīs izmaksas iegrāmato pamatlīdzekļu vērtībā, pretējā gadījumā šādas izmaksas nav attiecināmas un nav iekļaujamas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Horizontālais princips "nenodarīt būtisku kaitējumu"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"nenodarīt būtisku kaitējumu" (turpmāk – NBK) ietekme uz pasākumu ir "netieša". Projektu īstenošanā nodrošina, ka projekts neapdraud NBK noteiktos vides principus, kas minēti Eiropas Parlamenta un Padomes 2020.gada 18.jūnija Regulas (ES) 2020/852</w:t>
      </w:r>
      <w:r w:rsidR="00000000" w:rsidRPr="00000000" w:rsidDel="00000000">
        <w:rPr>
          <w:i w:val="1"/>
          <w:rtl w:val="0"/>
        </w:rPr>
        <w:t xml:space="preserve"> par regulējuma izveidi ilgtspējīgu ieguldījumu veicināšanai un ar ko groza Regulu (ES) 2019/2088</w:t>
      </w:r>
      <w:r w:rsidR="00000000" w:rsidRPr="00000000" w:rsidDel="00000000">
        <w:rPr>
          <w:rtl w:val="0"/>
        </w:rPr>
        <w:t xml:space="preserve"> 17. pantā un atbilst šādiem tiem pakārtotajiem sešiem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 lai neradītu ievērojamas siltumnīcefekta gāzu (turpmāk – SEG) emisijas;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pielāgošanās klimata pārmaiņām;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pāreja uz aprites ekonomiku, ieskaitot atkritumu rašanās novēršanu un pārstrādi;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kontrole;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piemērojamie NBK principi un no tiem izrietošas darbības projekta līmenī, ir aprakstītas publiski pieejamā dokumentā "Principa "Nenodarīt būtisku kaitējumu" novērtējums" (turpmāk – NBK novērtējums) (pieejams: </w:t>
      </w:r>
      <w:r w:rsidR="00000000" w:rsidRPr="00000000" w:rsidDel="00000000">
        <w:rPr>
          <w:i w:val="1"/>
          <w:rtl w:val="0"/>
        </w:rPr>
        <w:t xml:space="preserve">https://www.esfondi.lv/upload/2021-2027/hp-nenodarit-butisku-kaitejumu-noverteijumi-02.01.2023.zip</w:t>
      </w:r>
      <w:r w:rsidR="00000000" w:rsidRPr="00000000" w:rsidDel="00000000">
        <w:rPr>
          <w:rtl w:val="0"/>
        </w:rPr>
        <w:t xml:space="preserve">; datne "Programmā iekļauto specifisko atbalsta mērķu novērtējumi atbilstoši horizontālā principa "Nenodarīt būtisku kaitējumu" nosacījumiem"). NBK principi nosaka konkrētas darbības, kas jānodrošina projektu īstenošanā un kas tiek ņemtas vērā gan projektu iesniegumu vērtēšanas kritērijos, gan projektu īstenošanas uzraudzības laikā. NBK novērtējums paredz,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projektā plānota neizmantojamas būves, lietošanai bīstamas ēkas vai citu vidi degradējošu objektu nojaukšana, kas saistīta ar teritorijas labiekārtošanu: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a)būvdarbu veicējam ir pienākums noslēgt līgumu ar tādu atkritumu apsaimniekotāju, kas pašvaldības uzdevumā organizē atkritumu savākšanu konkrētajā pašvaldībā un nodrošina MK 2021.gada 26.oktobra noteikumu Nr.712 "Atkritumu dalītas savākšanas, sagatavošanas atkārtotai izmantošanai, pārstrādei un materiālu reģenerācijas noteikumi"  6.punktā minētās prasības ievērošanu,  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tilpju aizpildīšanai) ne mazāk kā 70 % apmērā (pēc svara) no kopējā kalendāra gadā radītā būvniecības un būvju nojaukšanas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ir izvērtētas iespējas, veicot iepirkuma procedūru, piemērot zaļā publiskā iepirkuma principu "aprites cikla skatījums". Piemēram, projektēšanas ietvaros izvērtēt iespēju izmantot  nebīstamos būvgružus un ēku nojaukšanas atkritumus, kas būvlaukumā radušies būvniecības laikā, aizbēršanas darbībām, kurās atkritumus izmanto citu materiālu aizstāšanai;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nesniegt atbalstu izmaksām, kas saistītas ar fosilo kurināmo (ieskaitot pakārtoto izmantošanu), izņemot izmaksas sabiedrisko pakalpojumu pieslēgumu nodrošināšanai saskaņā ar pieļaujamo regulējumu, kas paredz, ka izmaksas siltumapgādei ir atbalstāmas, ja centralizētā siltumapgādes sistēma atbilst efektīvai centralizētajai siltumapgādes sistēmai. Atbilstoši Eiropas Parlamenta un Padomes Direktīvas 2012/27/ES </w:t>
      </w:r>
      <w:r w:rsidR="00000000" w:rsidRPr="00000000" w:rsidDel="00000000">
        <w:rPr>
          <w:i w:val="1"/>
          <w:rtl w:val="0"/>
        </w:rPr>
        <w:t xml:space="preserve">par energoefektivitāti, ar ko groza Direktīvas 2009/125/EK un 2010/30/ES un atceļ Direktīvas 2004/8/EK un 2006/32/EK</w:t>
      </w:r>
      <w:r w:rsidR="00000000" w:rsidRPr="00000000" w:rsidDel="00000000">
        <w:rPr>
          <w:rtl w:val="0"/>
        </w:rPr>
        <w:t xml:space="preserve"> 2. panta 41. punktam "efektīva centralizētā siltumapgāde un aukstumapgāde" ir centralizētās siltumapgādes vai aukstumapgādes sistēma, kuras darbībā izmanto vismaz 50 % atjaunojamās enerģijas, 50 % siltuma pārpalikuma, 75 % koģenerācijas režīmā saražota siltuma vai šādu enerģijas un siltuma veidu kombināciju 50 %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nesniegt atbalstu projektu īstenošanai īpaši aizsargājamajās dabas teritorijās, kur nepieciešams nodrošināt ES nozīmes dzīvotņu un sugu aizsardzību, nodrošinot biotopiem un sugām labvēlīgu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Horizontālais princips "Klimatdrošināšana" un horizontālais princips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"Klimatdrošināšana" ietekme uz pasākumu ir "tieša". Savukārt, horizontālā principa "Energoefektivitāte pirmajā vietā" ietekme uz pasākumu ir "netieša". Projektu ietvaros ir atbalstāmi energoefektīvi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kritērijos, kas tiks iekļauti projektu atlases nolikumā, ir iekļauts specifiskais atbilstības kritērijs, kura ietvaros 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projektā paredzēts īstenot aktivitātes, kas nodrošina klimata pārmaiņu mazināšanu, tas ir, SEG emisiju samazināšanu vai CO</w:t>
      </w:r>
      <w:r w:rsidR="00000000" w:rsidRPr="00000000" w:rsidDel="00000000">
        <w:rPr>
          <w:vertAlign w:val="subscript"/>
          <w:rtl w:val="0"/>
        </w:rPr>
        <w:t xml:space="preserve">2</w:t>
      </w:r>
      <w:r w:rsidR="00000000" w:rsidRPr="00000000" w:rsidDel="00000000">
        <w:rPr>
          <w:rtl w:val="0"/>
        </w:rPr>
        <w:t xml:space="preserve"> piesaisti, kā arī vai projekts atbilst horizontālā principa "Energoefektivitāte pirmajā vietā" noteiktajām prasībām. Piemēram, lai mazinātu SEG – ēkas (būves) pieslēgšana efektīvai centralizētajai siltumapgādes sistēmai,  AER tehnoloģiju ieviešana, teritorijas apzaļumošana, "zaļie jumti", "zaļās sienas", citi "zaļie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projektā tiek nodrošināta atbilstība pielāgošanās klimata pārmaiņām aspektiem, piemēram, telpu dzesēšanas un ventilācijas risinājumi, kas nodrošina tādu iekštelpu gaisa apmaiņu un ventilāciju, kas mazina kaitējumu veselībai un novērš ekstremālu gaisa temperatūru maiņu ietekmi uz cilvēku, atbilstoši lietus notekūdeņu sistēmu risinājumi intensīvu nokrišņu gadījumiem vai, kur iespējams, dabā balstīti pretplūdu risinājumi projektā paredzētajā uzņēmējdarbības teritorijā, tai skaitā, notekas, ūdenscaurlaidīgi teritoriju, ietvju segumi,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Horizontālais princips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"Vienlīdzība, iekļaušana, nediskriminācija un pamattiesību ievērošana" (turpmāk – VINPI) ietekme uz pasākumu ir "netieša". Projektu iesniegumu vērtēšanas kritērijos tiek vērtēta VINPI ievērošana projekta līmenī. VINPI piemērošanā ņem vērā Labklājības ministrijas sadarbībā ar Tieslietu ministriju sagatavotās vadlīnijas horizontālā principa "Vienlīdzība, iekļaušana, nediskriminācija un pamattiesību ievērošana" īstenošanai un uzraudzībai (2021–2027) (pieejams: </w:t>
      </w:r>
      <w:r w:rsidR="00000000" w:rsidRPr="00000000" w:rsidDel="00000000">
        <w:rPr>
          <w:i w:val="1"/>
          <w:rtl w:val="0"/>
        </w:rPr>
        <w:t xml:space="preserve">https://www.lm.gov.lv/lv/vadlinijas–horizontala–principa–vienlidziba–ieklausana–nediskriminacija–un–pamattiesibu–ieverosana–istenosanai–un–uzraudzibai–2021–2027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īstenošanā būtiska ir savstarpējā koordinācija ar Programmu un Atveseļošanas un noturības mehānisma plānu (turpmāk – AF plāns), vērtējot investīciju saturu un savstarpējo sinerģiju, lai nodrošinātu un novērstu iespējamu investīciju pārklāšanos, savstarpēji papildinošu investīciju gadījumā novēršot dubultā finansējuma risku. Pasākums papildina 6.1.1.3. pasākumu un AF plāna 3.1.1.3.i. investīciju. Programmas līmenī tiek plānots atšķirīgs uzsvars, nosakot atbalsta tvērumu, piemēram, 6.1.1.3. pasākuma plānotās investīcijas uzņēmējdarbības atbalsta infrastruktūras attīstībai tiks vērstas uz AER izmantošanu atsevišķos Latvijas reģionos, kas  iekļauti Taisnīgas pārkārtošanās teritoriālajā plānā, tādējādi veicinot pāreju uz klimatneitrālu ekonomiku un attīstot "zaļās" uzņēmējdarbības teritorijas, kurās patērē AER. Savukārt 3.1.1.3.i. investīcijas ietvaros reģionos (ārpus Rīgas reģiona) plānots īstenot daudz lielākus investīciju projektus un attīstīt vismaz četrus nacionālas nozīmes industriālos parkus, lai piesaistītu starptautiski atzītus operatorus, lai piesaistītu komersantus, kas darbojas nozarēs ar augstu pievienotās vērtības potenciālu, kā arī lai attīstītu inovatīvus un augstas vērtības produktus viedās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finansējuma risks tiks novērsts projektu līmenī, nodrošinot, ka vienas un tās pašas atbalstāmās darbības un attiecināmās izmaksas netiks finansētas atkārtoti no dažādiem avotiem. Ņemot vērā, ka gan šī pasākuma, gan 3.1.1.3.i. investīcijas, gan 6.1.1.3. pasākuma ietvaros atbalstāma publiskās infrastruktūras attīstība, projektu iesniedzējiem būs jāiesniedz apliecinājums, ka vienas un tās pašas atbalstāmās darbības un attiecināmās izmaksas netiks finansētas no dažādiem avotiem. Iepriekš minētās investīcijas kopumā veicinās uzņēmējdarbības attīstību reģionos, kas nepieciešama, lai virzītos uz reģionu līdzsvarotu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Energoefektivitātes likuma 15. panta prasības, noteikumu projekts paredz projektu iesniedzējiem iesniegt informāciju sadarbības iestādei par enerģijas patēriņu (megavatstundas) pirms projekta īstenošanas, ja projekta ietvaros plāno ieguldījumus satiksmes infrastruktūras vai uzņēmējdarbības teritorijas esošās apgaismojuma sistēmas renovācijai vai ieguldījumus ēku pārbūvei un atjaunošanai. Attiecīgi, pēc projekta īstenošanas, finansējuma saņēmēja pienākums ir ziņot sadarbības iestādei par attiecīgās infrastruktūras 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ir atbalstāmi risinājumi, kas saistīti ar "Jaunā Eiropas Bauhaus" principu: estētika, ilgtspēja, iekļautība - īstenošanu. "Jaunais Eiropas Bauhaus" ir vides, ekonomikas un kultūras iniciatīva, kas savieno dizainu, ilgtspējību, pieejamību un investīcijas, lai sasniegtu Eiropas zaļā kursa mērķus. Eiropas zaļais kurss, savukārt, ir valstu, pašvaldību un visas sabiedrības kopīgais ceļš uz klimatneitralitāti, kā arī jauns ekonomikas un pārvaldības modelis. Eiropas zaļā kursa tēmas ir: tīra enerģija, energoefektivitāte, vieda mobilitāte, piesārņojuma likvidēšana, tīra pārtika un bioloģiskā daudzveidība (avots: </w:t>
      </w:r>
      <w:r w:rsidR="00000000" w:rsidRPr="00000000" w:rsidDel="00000000">
        <w:rPr>
          <w:i w:val="1"/>
          <w:rtl w:val="0"/>
        </w:rPr>
        <w:t xml:space="preserve">https://www.km.gov.lv/lv/media/30711/download?attachment</w:t>
      </w:r>
      <w:r w:rsidR="00000000" w:rsidRPr="00000000" w:rsidDel="00000000">
        <w:rPr>
          <w:rtl w:val="0"/>
        </w:rPr>
        <w:t xml:space="preserve">, ar labās prakses piemēriem). Piemēri ar papildu informāciju par dabā balstītiem risinājumiem pieejami, piemēram, šeit: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https://ec.europa.eu/research/participants/documents/downloadPublic?documentIds=080166e5c7061325&amp;appId=PPGMS;</w:t>
      </w:r>
      <w:r w:rsidR="00000000" w:rsidRPr="00000000" w:rsidDel="00000000">
        <w:rPr>
          <w:i w:val="1"/>
          <w:rtl w:val="0"/>
        </w:rPr>
        <w:t xml:space="preserve">https://www.urbangreenbluegrids.com/measures/reduce-paved-surfaces/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izstrādāts normatīvais regulējums, kādā tiek īstenots ES kohēzijas politikas programmas 2021.–2027.gadam 5.1.1. specifiskā atbalsta mērķa "Vietējās teritorijas integrētās sociālās, ekonomiskās un vides attīstības un kultūras mantojuma, tūrisma un drošības veicināšana pilsētu funkcionālajās teritorijās" 5.1.1.1. pasākums "Infrastruktūra uzņēmējdarbības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īstenots ES kohēzijas politikas programmas 2021.–2027.gadam 5.1.1. specifiskā atbalsta mērķa "Vietējās teritorijas integrētās sociālās, ekonomiskās un vides attīstības un kultūras mantojuma, tūrisma un drošības veicināšana pilsētu funkcionālajās teritorijās" 5.1.1.1. pasākums "Infrastruktūra uzņēmējdarbības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tās izveidota iestāde; speciālās ekonomiskās zonas pārvalde, pašvaldības kapitālsabiedrība, kas veic pašvaldības deleģēto pārvaldes uzdevumu izpildi vai ir noslēgusi pakalpojumu līgumu par sabiedrisko pakalpojumu sniegšanu; publiski privātā kapitālsabiedrība, kurā kapitāla daļas vai balsstiesīgās akcijas pieder vismaz vienai pašvaldībai un kura veic pašvaldības deleģēto pārvaldes uzdevumu izpildi.  Komersants, tai skaitā mazais, vidējais vai lielais komersants bez valsts vai pašvaldību kapitāla daļas. VARAM.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noteiktajiem projektu iesniedzējiem un sadarbības partneriem, īstenojot projektus, ir jāņem vērā noteikumu projektā minētie nosacījumi par pasākuma īstenošanu, tai skaitā par projektiem pieejamo finansējuma apmēru, sasniedzamajiem rādītājiem, projektā atbalstāmajām darbībām un izmaksām, komercdarbības atbalsta nosacījumiem u.c. VARAM pildīs atbildīgās iestādes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uzņēmējdarbības vidi, jo pasākuma īstenošanas rezultātā tiks veicināta ekonomikas attīstība un investīciju nonākšana tautsaimniecībā, komersantiem gūstot labumu no projekta ietvaros veiktajām investīcijām infrastruktūrā un palielināts algu fonds, kā arī piesaistītas privātās nefinanšu investīcijas pilsētu funkcionālajās teritorijās.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2.2.3.apakšpunktu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norādīto investīciju īstenošanas rezultātā paredzamais darba algu fonda pieaugums vismaz 66 555 000 </w:t>
      </w:r>
      <w:r w:rsidR="00000000" w:rsidRPr="00000000" w:rsidDel="00000000">
        <w:rPr>
          <w:i w:val="1"/>
          <w:rtl w:val="0"/>
        </w:rPr>
        <w:t xml:space="preserve">euro</w:t>
      </w:r>
      <w:r w:rsidR="00000000" w:rsidRPr="00000000" w:rsidDel="00000000">
        <w:rPr>
          <w:rtl w:val="0"/>
        </w:rPr>
        <w:t xml:space="preserve"> apmērā privātajos komersantos, kas būs labuma guvēji no pašvaldības izbūvētās vai atjaunotās uzņēmējdarbības infrastruktūras, radot pozitīvu ietekmi uz nodarbinātību īpaši kontekstā ar reģionu attīstību. Ieguldījumi publiskās infrastruktūras attīstībā sniegs pozitīvu ietekmi arī uz būvniecības nozarē nodarbinātajiem visu reģionu ietvaros, ievērojot, ka pasākumam plānotais un pieejamais kopējais finansējums tiek sadalīts katram plānošanas reģionam pēc IKP uz vienu iedzīvotāju apgrieztās proporcijas, tādejādi veicinot visu reģionu līdzsvarotu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19 966 500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39 933 000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19 966 500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39 933 000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23 490 000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46 980 000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19 966 500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39 933 000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3 523 500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7 047 000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-3 523 500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-7 047 000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-3 523 500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-7 047 000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-3 523 500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-7 047 000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-3 523 500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-7 047 000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5.1.1.1. pasākuma ietvaros pieejamais finansējums plānots 156 600 001 </w:t>
            </w:r>
            <w:r w:rsidR="00000000" w:rsidRPr="00000000" w:rsidDel="00000000">
              <w:rPr>
                <w:sz w:val="24"/>
                <w:i w:val="1"/>
                <w:rtl w:val="0"/>
              </w:rPr>
              <w:t xml:space="preserve">euro </w:t>
            </w:r>
            <w:r w:rsidR="00000000" w:rsidRPr="00000000" w:rsidDel="00000000">
              <w:rPr>
                <w:sz w:val="24"/>
                <w:rtl w:val="0"/>
              </w:rPr>
              <w:t xml:space="preserve">apmērā, tai skaitā ERAF finansējums 133 110 000 </w:t>
            </w:r>
            <w:r w:rsidR="00000000" w:rsidRPr="00000000" w:rsidDel="00000000">
              <w:rPr>
                <w:sz w:val="24"/>
                <w:i w:val="1"/>
                <w:rtl w:val="0"/>
              </w:rPr>
              <w:t xml:space="preserve">euro</w:t>
            </w:r>
            <w:r w:rsidR="00000000" w:rsidRPr="00000000" w:rsidDel="00000000">
              <w:rPr>
                <w:sz w:val="24"/>
                <w:rtl w:val="0"/>
              </w:rPr>
              <w:t xml:space="preserve"> un nacionālais līdzfinansējums 23 490 001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maksimāli iespējamā finansējuma ERAF daļa 85 % apmērā no projektu publiskā finansējuma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izdevumi ir projekta ieviešanai nepieciešamie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Projektus plānots ieviest no 2025. gada līdz 2029. gada 31.decembrim. Pieņemot, ka projektu iesniegumu atlases kārtu izsludināšanas sākumā paredzams salīdzinoši mazāks apstiprināto projektu skaits, 2025. gadā plānots finansējuma apjoms indikatīvi 15 % apmērā no 5.1.1.1.pasākuma pieejamā finansējuma. Prognozējams, ka apstiprināto projektu apjoms ievērojami palielināsies 2026. gadā, attiecīgi  2026.gada finansējums plānots indikatīvi 30 % apmērā no 5.1.1.1. pasākuma pieejamā finansējuma. Attiecīgi laika periodā no 2027. gada līdz 2029. gadam plānots nodrošināt atlikušā 5.1.1.1. pasākuma finansējuma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gadam kopējās izmaksas ir 23 490 000 </w:t>
            </w:r>
            <w:r w:rsidR="00000000" w:rsidRPr="00000000" w:rsidDel="00000000">
              <w:rPr>
                <w:sz w:val="24"/>
                <w:i w:val="1"/>
                <w:rtl w:val="0"/>
              </w:rPr>
              <w:t xml:space="preserve">euro</w:t>
            </w:r>
            <w:r w:rsidR="00000000" w:rsidRPr="00000000" w:rsidDel="00000000">
              <w:rPr>
                <w:sz w:val="24"/>
                <w:rtl w:val="0"/>
              </w:rPr>
              <w:t xml:space="preserve">, t.sk.  ERAF finansējums 19 966 500 </w:t>
            </w:r>
            <w:r w:rsidR="00000000" w:rsidRPr="00000000" w:rsidDel="00000000">
              <w:rPr>
                <w:sz w:val="24"/>
                <w:i w:val="1"/>
                <w:rtl w:val="0"/>
              </w:rPr>
              <w:t xml:space="preserve">euro</w:t>
            </w:r>
            <w:r w:rsidR="00000000" w:rsidRPr="00000000" w:rsidDel="00000000">
              <w:rPr>
                <w:sz w:val="24"/>
                <w:rtl w:val="0"/>
              </w:rPr>
              <w:t xml:space="preserve">, bet projektu iesniedzēju līdzfinansējums 3 523 500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2026.gadam kopējās izmaksas ir 46 980 000 </w:t>
            </w:r>
            <w:r w:rsidR="00000000" w:rsidRPr="00000000" w:rsidDel="00000000">
              <w:rPr>
                <w:sz w:val="24"/>
                <w:i w:val="1"/>
                <w:rtl w:val="0"/>
              </w:rPr>
              <w:t xml:space="preserve">euro</w:t>
            </w:r>
            <w:r w:rsidR="00000000" w:rsidRPr="00000000" w:rsidDel="00000000">
              <w:rPr>
                <w:sz w:val="24"/>
                <w:rtl w:val="0"/>
              </w:rPr>
              <w:t xml:space="preserve">, t.sk. ERAF finansējums 39 933 000 </w:t>
            </w:r>
            <w:r w:rsidR="00000000" w:rsidRPr="00000000" w:rsidDel="00000000">
              <w:rPr>
                <w:sz w:val="24"/>
                <w:i w:val="1"/>
                <w:rtl w:val="0"/>
              </w:rPr>
              <w:t xml:space="preserve">euro</w:t>
            </w:r>
            <w:r w:rsidR="00000000" w:rsidRPr="00000000" w:rsidDel="00000000">
              <w:rPr>
                <w:sz w:val="24"/>
                <w:rtl w:val="0"/>
              </w:rPr>
              <w:t xml:space="preserve">, bet projektu iesniedzēju līdzfinansējums 7 047 000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2027.līdz 2029.gadam kopējās izmaksas ir 86 130 001 </w:t>
            </w:r>
            <w:r w:rsidR="00000000" w:rsidRPr="00000000" w:rsidDel="00000000">
              <w:rPr>
                <w:sz w:val="24"/>
                <w:i w:val="1"/>
                <w:rtl w:val="0"/>
              </w:rPr>
              <w:t xml:space="preserve">euro</w:t>
            </w:r>
            <w:r w:rsidR="00000000" w:rsidRPr="00000000" w:rsidDel="00000000">
              <w:rPr>
                <w:sz w:val="24"/>
                <w:rtl w:val="0"/>
              </w:rPr>
              <w:t xml:space="preserve">, t.sk.  ERAF finansējums 73 210 501 </w:t>
            </w:r>
            <w:r w:rsidR="00000000" w:rsidRPr="00000000" w:rsidDel="00000000">
              <w:rPr>
                <w:sz w:val="24"/>
                <w:i w:val="1"/>
                <w:rtl w:val="0"/>
              </w:rPr>
              <w:t xml:space="preserve">euro</w:t>
            </w:r>
            <w:r w:rsidR="00000000" w:rsidRPr="00000000" w:rsidDel="00000000">
              <w:rPr>
                <w:sz w:val="24"/>
                <w:rtl w:val="0"/>
              </w:rPr>
              <w:t xml:space="preserve">, bet projektu iesniedzēju līdzfinansējums 12 919 501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var palielināt amata vietu skaitu projektu īstenotājiem, t.i., plānojot projekta īstenošanu, tiks izvērtēta esošo cilvēkresursu kapacitāte, nepieciešamības gadījumā piesaistot personālu uz darba līguma pamata vai nodrošinot projekta pasākumu īstenošanu ārpakalpojuma ietvaros. Projekta vadības personālu ir iespējams finansēt no projekta līdzekļiem.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pasākuma īstenošanai pēc projektu iesniegumu apstiprināšanas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2013. gada 18. decembra Regulu (ES) Nr. 1407/2013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76.6.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76.6.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2013. gada 18. decembra Regulu (ES) Nr. 1407/2013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67.2.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67.1.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60. un 69.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8.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67.4.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62.4. un 66.2.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 un 44.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  un 62.9.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47.a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52.9.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121.a un 121.b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36.6.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punkta "a", "s" un "cc"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3.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70. un 71.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1.punkta "c" apakšpunkts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44. un 56.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50. un 52.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Formāli paredz stingrākas prasības MVU par jaunu aktīvu iegādi. Praktiski šāda prasība MVU neietekmēs, jo atbalsta programmas ietvaros nav attiecināmas ražošanas iekārtu, aprīkojuma vai darbmašīnu iegādes izmaksas. Prasība, ka aktīviem jābūt jauniem uz visiem komersantiem attiecas vienādi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44. un 57.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50. un 53.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44. un 58.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50. un 54.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44. un 59.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50., 55. un 65.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55.4.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panta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62.1. un 56.5.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62.9.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20 darbdienu laikā no šo noteikumu stāšanās spēkā, izmantojot Komisijas elektroniskās paziņošanas sistēmu (SANI2), nosūtīs Eiropas Komisijai kopsavilkuma informāciju par šo atbalsta programmu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76.7.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reģioni un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nodrošināta, publicējot noteikumu projektu Vienotajā tiesību aktu projektu izstrādes un saskaņošanas portālā, nodrošinot iespēju sabiedrībai sniegt par to viedokli. Sabiedrības pārstāvji var līdzdarboties noteikumu projekta izstrādē, sniedzot atzinumu un viedokli par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sabiedrības līdzdalības procesa beigām tiks saņemti sabiedrības pārstāvju komentāri, iebildumi un priekšlikumi, tad attiecīgi tie tiks vērtēti noteikumu projekta saskaņošanas procesā, un attiecīgi tiks precizēts noteikumu projekts un anotācija pirms noteikumu projekta iesniegšanas izskatīšanai MK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Centrālā un finanšu līgumu aģentūra
Plānošanas reģioni
Pašvaldības, to sadarbības partneri, privātie komersanti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iekļautās investīcijas ir plānotas saskaņā ar RPP noteiktajiem pasākumiem, kuru galvenie tematiskie atbalsta virzieni reģionālās politikas mērķa (visu reģionu potenciāla attīstība un sociālekonomisko atšķirību mazināšana, stiprinot to iekšējo un ārējo konkurētspēju, kā arī nodrošinot teritoriju specifikai atbilstošus risinājumus apdzīvojuma un kvalitatīvas dzīves vides attīstībai) sasniegšanai ir, piemēram, uzņēmējdarbības vides uzlabošana reģionos (publiskās infrastruktūras attīstība uzņēmējdarbības atbalstam, tai skaitā ražošanas objektu vai teritoriju atjaunošana, sakārtošana) un cilvēkkapitāla piesaiste reģionos (atbalsts augsti kvalificēta darba spēka piesaistei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pašvaldībās tiks attīstītas teritorijas, kas sniegs ekonomisko atdevi un ieguldījumus, piesaistot nefinanšu investīcijas vismaz 88 740 000 </w:t>
      </w:r>
      <w:r w:rsidR="00000000" w:rsidRPr="00000000" w:rsidDel="00000000">
        <w:rPr>
          <w:i w:val="1"/>
          <w:rtl w:val="0"/>
        </w:rPr>
        <w:t xml:space="preserve">euro </w:t>
      </w:r>
      <w:r w:rsidR="00000000" w:rsidRPr="00000000" w:rsidDel="00000000">
        <w:rPr>
          <w:rtl w:val="0"/>
        </w:rPr>
        <w:t xml:space="preserve">apmērā un radot darba algu fonda pieaugumu– vismaz 66 555 000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īstenotājiem jānodrošina, ka projekts izpilda nepieciešamās prasības NBK principa ievērošanai. Projektiem piemērojamie NBK principi un no tiem izrietošas darbības projekta līmenī ir aprakstītas NBK novērtējumā, kas ir publiski pieejams dokuments (pieejams: </w:t>
      </w:r>
      <w:r w:rsidR="00000000" w:rsidRPr="00000000" w:rsidDel="00000000">
        <w:rPr>
          <w:i w:val="1"/>
          <w:rtl w:val="0"/>
        </w:rPr>
        <w:t xml:space="preserve">https://www.esfondi.lv/upload/2021-2027/hp-nenodarit-butisku-kaitejumu-noverteijumi-02.01.2023.zip</w:t>
      </w:r>
      <w:r w:rsidR="00000000" w:rsidRPr="00000000" w:rsidDel="00000000">
        <w:rPr>
          <w:rtl w:val="0"/>
        </w:rPr>
        <w:t xml:space="preserve">; datne "Programmā iekļauto specifisko atbalsta mērķu novērtējumi atbilstoši horizontālā principa "Nenodarīt būtisku kaitējumu" nosacījumiem"). Noteikumu projekts neparedz projektos iekļaut specifiskas vai papildu prasības, kas skartu vides jomu. Uz projektiem attiecas spēkā esošais vides jomas normatīvais regulējums.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atbalstītas izmaksas AER tehnoloģijām, kuru saražoto enerģiju izmanto projektā attīstītajā ēku, satiksmes, labiekārtoto teritoriju infrastruktūrā. Netiek atbalstīti ieguldījumi sistēmās, kas izmanto fosilo kurināmo. Projektu īstenošanas rezultātā tiks veicināti arī ieguldījumi degradētas vides sakārtošanā. Izbūvējot infrastruktūru, atbalstāmi ir energoefektīvi risinājumi, SEG emisiju mazinoši pasākumi. Projektu īstenotājiem jāievēro zaļā publiskā iepirkuma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ieviešana labvēlīgi ietekmēs iedzīvotāju sociālo situāciju, veicinot nodarbinātību un izveidojot jaunas darbavietas. Pasākums radīs ietekmi uz reģionālo aspektu: veicinās iedzīvotāju ienākumu pieaugumu un mazinās nabadzības rādītājus reģionos, kas pastarpināti mazinās vardarbības riskus ģimenēs.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ieguldījumus publiskajā infrastruktūrā uzņēmējdarbības vides uzlabošanai, tiks sekmēta nepieciešamo apstākļu nodrošināšana un vienlīdzīgas iespējas uzņēmējdarbības uzsākšanai un attīstībai visiem iedzīvotājiem. Publiskās infrastruktūras attīstīšanas projektos tiks īstenotas vides un informācijas pieejamības nodrošināšanas darbības personām ar funkcionāliem traucējumiem, vecāka gadagājuma cilvēkiem un vecākiem ar bērniem, pielietojot labās prakses vai inovatīvus risinājumus būvniecībā, nodrošinot nepieciešamo aprīkojumu iekļūšanai telpās, kā arī piekļuvei objektiem un pakalpojumiem, kas atrodas ārpus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īstenošanai un uzraudzībai (2021–2027) vadlīnijām, projektos plānojamas vispārīgās horizontālā principa darbības, kas vērstas uz personu ar invaliditāti  vienlīdzīgu iespēju un tiesību veicināšanu, piemēram, nodrošinot informāciju publiskajā telpā, t.sk. tīmeklī, tiks nodrošināts, ka to saturs ir piekļūstams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plānojamas arī specifiskās darbības personu ar invaliditāti  vienlīdzīgu iespēju un tiesību veicināšanu, piemēram, papildus būvnormatīvā LBN 200-21 noteiktajam, projekta ietvaros tiks īstenotas labās prakses darbības, kas īpaši veicina vides piekļūstamību cilvēkiem ar funkcionāliem traucējumiem (Labklājības ministrijas vadlīnijas "Labās prakses ieteikumi vides piekļūstamības nodrošināšanai papildus LBN 200-21 noteiktajam". Pieejams šeit: </w:t>
      </w:r>
      <w:r w:rsidR="00000000" w:rsidRPr="00000000" w:rsidDel="00000000">
        <w:rPr>
          <w:i w:val="1"/>
          <w:rtl w:val="0"/>
        </w:rPr>
        <w:t xml:space="preserve">https://www.lm.gov.lv/lv/ieteikumi-ieklaujosas-vides-veidosanai</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izstrādes laikā, īstenošanā un vadībā tiks nodrošināta informācijas un vides pieejamības, nediskriminācijas pēc vecuma, dzimuma, etniskās piederības u.c. pazīmēm un vienlīdzīgu iespēju principu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īstenošanai un uzraudzībai (2021–2027) vadlīnijām, projektos plānojamas vispārīgās horizontālā principa darbības, kas vērstas uz dzimumu līdztiesību, piemēram, projekta vadības un īstenošanas personālam – gan sievietēm, gan vīriešiem nodrošināta vienlīdzīga darba samaksa un vienlīdzīgas karjeras izaugsmes iespējas, tostarp nodrošinot dalību apmācībās, semināros, komandējumos,  (t.sk. piemērota vienlīdzīgas bonusu sistēma, veselības apdrošināšana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plānojamas arī specifiskās darbības dzimumu līdztiesības veicināšanai, piemēram, attiecībā uz pārvietošanos uz ielas - ietves veidojot ar lēzenu nobraukumu/uzbraukumu, izvairoties no kāpnēm vai, ja tādas ir, tad ar pielāgojumiem, lai būtu izmantojamas, pārvietojoties ar bērnu ratiņiem.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plānotajām darbībām, ievērojot vadlīnijās "Horizontālais princips "Vienlīdzība, iekļaušana, nediskriminācija un pamattiesību ievērošana" vadlīnijas īstenošanai un uzraudzībai  (2021-2027)" noteikto, ir netieša ietekme uz horizontālo principu. Pasākuma ietvaros ir plānota datu uzkrāšana par šādu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objektu skaits, kuros Eiropas Reģionālās attīstības fonda ieguldījumu rezultātā ir nodrošināta vides un informācijas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konsultatīva rakstura pasākumu par būvētās vides, IT risinājumu, IT tehnoloģiju piekļūstamību personām ar dažādiem funkcionāliem traucējumiem (piemēram, vides piekļūstamības ekspertu konsultācijas būvprojekta izstrādes un pabeigšanas posmā)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projektu iesniegumu specifiskajā atbilstības vērtēšanas kritērijā noteiktajam (1. atlases kārta – ierobežota projektu iesniegumu atlase), lai pasākuma ietvaros apstiprinātu projektu, ir pie nosacījuma, ka projektā paredzētas vismaz 3 vispārīgās horizontālā principa darbības, kas aptver tādas jomas, kā projekta vadības un īstenošanas personālu, komunikācijas un publicitātes pasākumus, publiskos iepirkumus, 3 specifiskās horizontālā principa darbības un 2 horizontālā principa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projektu iesniegumu kvalitātes vērtēšanas kritērijā noteiktajam (2.-3. atlases kārta – atklāta projektu iesniegumu atlase), minimālās prasības attiecībā uz horizontālo principu, lai pasākuma ietvaros apstiprinātu projektu, ir pie nosacījuma, ka projektā paredzētas vismaz 3 vispārīgās horizontālā principa darbības,vismaz 1 specifiskā horizontālā principa darbība un vismaz 1 horizontālā principa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un specifiskās darbības ir minētas vadlīnijās "Horizontālais princips "Vienlīdzība, iekļaušana, nediskriminācija un pamattiesību ievērošana" vadlīnijas īstenošanai un uzraudzībai  (2021–2027)". Piemēram, viena no vispārīgajām horizontālā principa  darbībām ir publisko iepirkumu veikšana sociāli atbildīgā veidā (iepirkumos, kur tas ir iespējams)  – pērkot ētiski ražotus produktus un pakalpojumus un izmantojot publiskās iepirkumu procedūras, lai radītu darbavietas, pienācīgus darba apstākļus, sekmētu sociālo un profesionālo iekļautību, kā arī veicinātu labākus darba nosacījumus cilvēkiem ar invaliditāti un nelabvēlīgā situācijā esošiem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specifiskā horizontālā principa darbība izriet no pasākuma atbalstāmo darbību un projekta satura un ir tāda darbība, kas īpaši veicina vides un informācijas piekļūstamību personām ar kustību, redzes, dzirdes vai garīga rakstura traucējumiem, vecāka gadagājuma cilvēkiem un vecākiem ar maziem bērniem. Piemēram, 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 inovatīvu iepirkumu nosacījumu piemērošana publisko iepirkumu veikšanā, tādejādi sekmējot ne tikai publisko resursu efektīvāku izmantošanu, bet arī inovācijas uzņēmumos un publiskajā sektorā. Skat. metodisko materiālu, kas pieejams šeit:</w:t>
      </w:r>
      <w:r w:rsidR="00000000" w:rsidRPr="00000000" w:rsidDel="00000000">
        <w:rPr>
          <w:i w:val="1"/>
          <w:rtl w:val="0"/>
        </w:rPr>
        <w:t xml:space="preserve"> https://www.iub.gov.lv/lv/strategiskais-iepirkums.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 var kalpot arī kā par vienu no ES politikas īstenošanas instrumentu Eiropas Savienības stratēģijā Baltijas jūras reģionam (ESSBJR) noteikto mērķu sasniegšanā, ņemot vērā tā Rīcības plānā noteikto jomu - popularizēt uzņēmējdarbību, stiprināt MVU un palielināt efektīvu cilvēkresursu izmantošanu.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23-TA-1091</w:t>
    </w:r>
    <w:r>
      <w:br/>
    </w:r>
    <w:r w:rsidR="00000000" w:rsidRPr="00000000" w:rsidDel="00000000">
      <w:rPr>
        <w:rtl w:val="0"/>
      </w:rPr>
      <w:t xml:space="preserve">Izdrukāts 29.07.2026. 23.14 - 7.0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23-TA-1091</w:t>
    </w:r>
    <w:r>
      <w:br/>
    </w:r>
    <w:r w:rsidR="00000000" w:rsidRPr="00000000" w:rsidDel="00000000">
      <w:rPr>
        <w:rtl w:val="0"/>
      </w:rPr>
      <w:t xml:space="preserve">Izdrukāts 29.07.2026. 23.14 - 7.0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anotācija_(ex_ante)_23-TA-1091.docx</dc:title>
</cp:coreProperties>
</file>

<file path=docProps/custom.xml><?xml version="1.0" encoding="utf-8"?>
<Properties xmlns="http://schemas.openxmlformats.org/officeDocument/2006/custom-properties" xmlns:vt="http://schemas.openxmlformats.org/officeDocument/2006/docPropsVTypes"/>
</file>