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2016. gada 12. aprīļa noteikumos Nr. 226 "Noteikumi par akcelerācijas fondiem saimnieciskās darbības veicēju izveides, attīstības un konkurētspējas veicināšanai""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2016. gada 12. aprīļa noteikumos Nr. 226 "Noteikumi par akcelerācijas fondiem saimnieciskās darbības veicēju izveides, attīstības un konkurētspējas veicināšanai"" (turpmāk - Noteikumu projekts) izstrādāts, lai veiktu finansējuma pārdali un precizētu atbilstošāku atmaksu finansējuma avotu.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veikt precizējumus Ministru kabineta 2016. gada 12. aprīļa noteikumos Nr. 226 "Noteikumi par akcelerācijas fondiem saimnieciskās darbības veicēju izveides, attīstības un konkurētspējas veicināšanai” (turpmāk – MK noteikumi Nr. 226), lai veiktu finansējuma pārdali un precizētu atbilstošāku atmaksu finansējuma avotu.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226 4.2. apakšpunktu, Akcelerācijas fondu programmas īstenošanai ir pieejams atmaksu finansējums 2 miljonu </w:t>
      </w:r>
      <w:r w:rsidR="00000000" w:rsidRPr="00000000" w:rsidDel="00000000">
        <w:rPr>
          <w:i w:val="1"/>
          <w:rtl w:val="0"/>
        </w:rPr>
        <w:t xml:space="preserve">euro </w:t>
      </w:r>
      <w:r w:rsidR="00000000" w:rsidRPr="00000000" w:rsidDel="00000000">
        <w:rPr>
          <w:rtl w:val="0"/>
        </w:rPr>
        <w:t xml:space="preserve">apmērā, savukārt saskaņā ar MK noteikumu Nr. 226 20. punktu, 2024. gada 30. jūnijā noslēdzās akcelerācijas fondu ieguldījumu periods. Apkopojot informāciju uz 2024. gada 29. oktobri, Attīstības finanšu institūcijas Altum (turpmāk – sabiedrība Altum) ir konstatējusi, ka ieguldījumiem uzņēmumos, kā arī fondu pārvaldnieku vadības maksām MK Noteikumu Nr. 226 paredzētais 2 mijonu </w:t>
      </w:r>
      <w:r w:rsidR="00000000" w:rsidRPr="00000000" w:rsidDel="00000000">
        <w:rPr>
          <w:i w:val="1"/>
          <w:rtl w:val="0"/>
        </w:rPr>
        <w:t xml:space="preserve">euro </w:t>
      </w:r>
      <w:r w:rsidR="00000000" w:rsidRPr="00000000" w:rsidDel="00000000">
        <w:rPr>
          <w:rtl w:val="0"/>
        </w:rPr>
        <w:t xml:space="preserve">atmaksu finansējums faktiski ir izlietots 1,9 miljonu </w:t>
      </w:r>
      <w:r w:rsidR="00000000" w:rsidRPr="00000000" w:rsidDel="00000000">
        <w:rPr>
          <w:i w:val="1"/>
          <w:rtl w:val="0"/>
        </w:rPr>
        <w:t xml:space="preserve">euro </w:t>
      </w:r>
      <w:r w:rsidR="00000000" w:rsidRPr="00000000" w:rsidDel="00000000">
        <w:rPr>
          <w:rtl w:val="0"/>
        </w:rPr>
        <w:t xml:space="preserve">apmērā. Akcelerācijas fondu programmas īstenošana paredzēta līdz 2028. gadam, taču atlikušais atmaksu finansējums ir pietiekams līdz indikatīvi 2025. gada 2. ceturkšņa beigām.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Akcelerācijas fondu programmas īstenošanu līdz 2028. gadam nav iespējams nodrošināt ar MK noteikumu Nr. 226 paredzēto atmaksu finansējumu, savukārt Riska kapitāla fondu programmai, kas tiek īstenota saskaņā ar Ministru kabineta 2016. gada 2. augusta noteikumiem Nr. 518 “Noteikumi par sēklas kapitāla, sākuma kapitāla un izaugsmes kapitāla fondiem saimnieciskās darbības veicēju izveides, attīstības un konkurētspējas veicināšanai” (turpmāk – MK noteikumi Nr. 518), paredzētais atmaksu finansējums veido pārpalikumu, kā arī to, ka atmaksu finansējums abās programmās tiks izmantots gan ieguldījumu veikšanai, gan vadības maksu segšanai, nepieciešams veikt grozījumus precizējot atbilstošāku atmaksu finansējuma avotu.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dažādu valstu statistika būtu salīdzināma Eiropas Savienībā (ES) pastāv divas klasifikācijas sistēmas – 2010. gada Eiropas Kontu sistēmu (EKS2010) un ES Saimniecisko darbību statistiskā klasifikācija jeb NACE, – saskaņā ar kurām iespējams klasificēt institucionālās vienības un tautsaimniecības sektorus.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NACE 2.red. klasifikācija tika izstrādāta un apstiprināta ar 2006. gada 20. decembra Eiropas Parlamenta un Padomes regulu (EK) Nr. 1893/2006, ar ko izveido NACE 2. red. saimniecisko darbību statistisko klasifikāciju, kā arī groza Padomes Regulu (EEK) Nr. 3037/90 un dažas EK regulas par īpašām statistikas jomām, un 2024. gada 31. decembrī beidza savu darbību. No 2025. gada 1. janvāra NACE 2. red. tiek atjaunināta, lai ņemtu vērā tehnoloģiju un ekonomikas attīstību un nodrošinātu tās saskaņotību ar citām ekonomiskajām un sociālajām klasifikācijām un stājās spēkā NACE 2.1. redakcija, kas izklāstīta Komisijas deleģētajā (ES) 2022. gada 10. oktobra Regulā Nr. 2023/137, ar kuru groza Regulu (EK) Nr. 1893/2006, ar ko izveido saimniecisko darbību statistisko klasifikāciju.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Nepieciešams precizēt Noteikuma projekta 4.2 apakšpunktu, nosakot, ka tiek palielināts minētais atmaksu finansējumu līdz 3 000 000 </w:t>
      </w:r>
      <w:r w:rsidR="00000000" w:rsidRPr="00000000" w:rsidDel="00000000">
        <w:rPr>
          <w:b w:val="1"/>
          <w:i w:val="1"/>
          <w:rtl w:val="0"/>
        </w:rPr>
        <w:t xml:space="preserve">euro</w:t>
      </w:r>
      <w:r w:rsidR="00000000" w:rsidRPr="00000000" w:rsidDel="00000000">
        <w:rPr>
          <w:b w:val="1"/>
          <w:rtl w:val="0"/>
        </w:rPr>
        <w:t xml:space="preserve">, ko veido sekojoši atmaksu finansējuma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programmas "Uzņēmējdarbība un inovācijas" papildinājuma 2.2.1.4.1. apakšaktivitātē "Atbalsts aizdevumu veidā komersantu konkurētspējas uzlabošanai" gūto atmaksu publiskā finansējuma daļa 1 000 000 </w:t>
      </w:r>
      <w:r w:rsidR="00000000" w:rsidRPr="00000000" w:rsidDel="00000000">
        <w:rPr>
          <w:i w:val="1"/>
          <w:rtl w:val="0"/>
        </w:rPr>
        <w:t xml:space="preserve">euro </w:t>
      </w:r>
      <w:r w:rsidR="00000000" w:rsidRPr="00000000" w:rsidDel="00000000">
        <w:rPr>
          <w:rtl w:val="0"/>
        </w:rPr>
        <w:t xml:space="preserve">un šā finansējuma atmaksātais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2.2.1.1. aktivitātē "Ieguldījumu fonds investīcijām garantijās, paaugstināta riska aizdevumos, riska kapitāla fondos un cita veida finanšu instrumentos" gūto atmaksu publiskā finansējuma daļa 2 000 000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226 grozījumi nerada ietekmi uz gala saņēmējiem pasākuma ietvaros, jo finanšu starpnieki (akcelerācijas fondu pārvaldnieki) turpina nodrošināt fondu darbību, tai skaitā veicot ieguldījumu gala saņēmējos monitoringu atbilstoši savai ieguldījumu realizācijas stratēģijai.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Investīciju veikšana gala saņēmējos (follow-on ieguldījumi) šajā pasākumā ir pabeigti saskaņā ar MK noteikumos noteiktajām prasībām un termiņiem un nepārsniedzot ar finanšu starpniekiem noslēgtajos līgumos noteikto pieejamā publiskā finansējuma apjomu. Palielinātais atmaksu finansējums tiks izmantots, lai segtu fondu vadības maksas saskaņā ar līgumiem, kas noslēgti starp sabiedrību Altum un finanšu starpniekiem – vadības maksas pēcieguldījumu periodā, kurām nevar izmantot ERAF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Nepieciešami tehniskie precizējumi, pārņemot Saimniecisko darbību statistiskā klasifikācija Eiropas Kopienā, 2.1. redakciju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periodā no 2025.gada 8.februāra līdz 2025.gada 22.februārim MK noteikumu projekts tika izsludināts publiskā apspriešanā. Laika perioda nav saņemti komentāri par MK noteikumu projektu.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25-TA-152</w:t>
    </w:r>
    <w:r>
      <w:br/>
    </w:r>
    <w:r w:rsidR="00000000" w:rsidRPr="00000000" w:rsidDel="00000000">
      <w:rPr>
        <w:rtl w:val="0"/>
      </w:rPr>
      <w:t xml:space="preserve">Izdrukāts 30.07.2026. 00.04 - 3.0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25-TA-152</w:t>
    </w:r>
    <w:r>
      <w:br/>
    </w:r>
    <w:r w:rsidR="00000000" w:rsidRPr="00000000" w:rsidDel="00000000">
      <w:rPr>
        <w:rtl w:val="0"/>
      </w:rPr>
      <w:t xml:space="preserve">Izdrukāts 30.07.2026. 00.04 - 3.0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anotācija_(ex_ante)_25-TA-152.docx</dc:title>
</cp:coreProperties>
</file>

<file path=docProps/custom.xml><?xml version="1.0" encoding="utf-8"?>
<Properties xmlns="http://schemas.openxmlformats.org/officeDocument/2006/custom-properties" xmlns:vt="http://schemas.openxmlformats.org/officeDocument/2006/docPropsVTypes"/>
</file>