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(turpmāk - Noteikumu projekts) izstrādāts, pamatojoties uz Ministru kabineta (turpmāk – MK) 2022. gada 18. oktobra sēdes protokola Nr. 53 70. § "Informatīvais ziņojums par Finanšu ministrijas pārziņā esošo Eiropas Savienības fondu un ārvalstu finanšu palīdzības aktualitātēm līdz 2022. gada 1. septembrim (pusgada ziņojums)" (turpmāk – MK protokollēmums) 4.3. apakšpunktu, kas uzdod Vides aizsardzības un reģionālās attīstības ministrijai (turpmāk – VARAM)  pēc grozījumu darbības programmā "Izaugsme un nodarbinātība" (turpmāk – DP) apstiprināšanas Eiropas Komisijā VARAM steidzamības kārtā virzīt attiecīgus grozījumus 4.2.2. specifiskā atbalsta mērķa "Atbilstoši pašvaldības integrētajām attīstības programmām sekmēt energoefektivitātes paaugstināšanu un atjaunojamo energoresursu izmantošanu pašvaldību ēkās" (turpmāk – 4.2.2. SAM) un 13.1.3. specifiskā atbalsta mērķa "Atveseļošanas pasākumi vides un reģionālās attīstības jomā" 13.1.3.1. pasākuma "Energoefektivitātes paaugstināšana pašvaldību infrastruktūrā ekonomiskās situācijas uzlabošanai" (turpmāk – 13.1.3.1. pasākums) ieviešanu regulējošajos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(turpmāk – MK noteikumi Nr. 152), attiecīgi precizējot finansējuma avotus. Lai arī DP grozījumi šobrīd vēl ir saskaņošanas stadijā, ņemot vērā citus šajos noteikumos nepieciešamos grozījumus, lai mazinātu administratīvo slogu, visi grozījumi tiek rosināti vienlaikus. Nepieciešamās finansējuma izmaiņas neparedz ne palielināt, ne samazināt finansējumu, tikai tehniski mainot finansējuma avotu proporcijas atbilstoši valdības lēmumam. DP grozījumu priekšlikums jau ir ticis saskaņots ar Eiropas Komisiju Eiropas Savienības fondu uzraudzības komitejas ietvaros, tāpēc nav būtisku risku šādu noteikumu grozījumu veikšanai vēl pirms DP grozījumu apstiprināšanas. Vienlaikus, ja tomēr DP grozījumu oficiālās saskaņošanas laikā tiks saņemti Eiropas Komisijas iebildumi par konkrēto grozījumu priekšlikumu, VARAM sadarbībā ar Finanšu ministriju izstrādās atbilstošu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MK noteikumos Nr. 152 iekļautā finansējuma atbilstību aktuālajiem MK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 </w:t>
      </w:r>
      <w:r w:rsidR="00000000" w:rsidRPr="00000000" w:rsidDel="00000000">
        <w:rPr>
          <w:i w:val="1"/>
          <w:rtl w:val="0"/>
        </w:rPr>
        <w:t xml:space="preserve">de minimis</w:t>
      </w:r>
      <w:r w:rsidR="00000000" w:rsidRPr="00000000" w:rsidDel="00000000">
        <w:rPr>
          <w:rtl w:val="0"/>
        </w:rPr>
        <w:t xml:space="preserve"> atbalstu 4.2.2. SAM otrās projektu iesniegumu atlases kārtas pabeigtajiem projektiem, lai novērstu potenciāli nelikumīgu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atmaksājamās palīdzības nosacījumu projektos plānoto iznākuma rādītāju nesasniegšanas gadījumā, nosakot, ka atmaksājamā palīdzība tiek piemērota, ja neizpilde pārsniedz 15% no plānotā rādītāja vērtības apjoma, lai novērstu negatīvas finansiālas sekas 4.2.2. SAM finansējuma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Izmaiņas ar finansējuma pārdali saistītajos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nepieciešamo papildu finansējumu pārtikas un pamata materiālās palīdzības nodrošināšanai Labklājības ministrijas administrētās Eiropas Atbalsta fonda vistrūcīgākajām personām darbības programmas "Pārtikas un pamata materiālās palīdzības sniegšana vistrūcīgākajām personām 2014.–2020. gada plānošanas periodā" (turpmāk – EAFVP darbības programma), Noteikumu projekts izstrādāts saskaņā ar MK protokollēmuma 4.3. apakšpunkta uzdevumu VARAM sagatavot un virzīt izskatīšanai MK sēdē steidzamības kārtībā grozījumus MK noteikumos par 4.2.2. SAM un 13.1.3.1. pasākuma īstenošanu, precizējot finansējuma avotus atbilstoši DP grozījumiem Nr. 9,  ar kuriem uz 4.2.2. SAM tiek pārcelts 2.1.2. specifiskā atbalsta mērķa "Nodrošināt inovatīvu tehnoloģisko risinājumu ieviešanu ārējās robežas kontrolē" atbrīvotais Eiropas Reģionālās attīstības fonda (turpmāk – ERAF) finansējums 13 217 837 </w:t>
      </w:r>
      <w:r w:rsidR="00000000" w:rsidRPr="00000000" w:rsidDel="00000000">
        <w:rPr>
          <w:i w:val="1"/>
          <w:rtl w:val="0"/>
        </w:rPr>
        <w:t xml:space="preserve">euro </w:t>
      </w:r>
      <w:r w:rsidR="00000000" w:rsidRPr="00000000" w:rsidDel="00000000">
        <w:rPr>
          <w:rtl w:val="0"/>
        </w:rPr>
        <w:t xml:space="preserve">apjomā, pārdalītais ERAF finansējums 10 465 225 </w:t>
      </w:r>
      <w:r w:rsidR="00000000" w:rsidRPr="00000000" w:rsidDel="00000000">
        <w:rPr>
          <w:i w:val="1"/>
          <w:rtl w:val="0"/>
        </w:rPr>
        <w:t xml:space="preserve">euro </w:t>
      </w:r>
      <w:r w:rsidR="00000000" w:rsidRPr="00000000" w:rsidDel="00000000">
        <w:rPr>
          <w:rtl w:val="0"/>
        </w:rPr>
        <w:t xml:space="preserve">apmērā novirzīts 4.2.2. SAM piektajai projektu iesniegumu atlases kārtai REACT-EU</w:t>
      </w:r>
      <w:r w:rsidR="00000000" w:rsidRPr="00000000" w:rsidDel="00000000">
        <w:rPr>
          <w:vertAlign w:val="superscript"/>
          <w:rtl w:val="0"/>
        </w:rPr>
        <w:t xml:space="preserve">1</w:t>
      </w:r>
      <w:r w:rsidR="00000000" w:rsidRPr="00000000" w:rsidDel="00000000">
        <w:rPr>
          <w:rtl w:val="0"/>
        </w:rPr>
        <w:t xml:space="preserve"> 13.1.3.1. pasākumā plānoto projektu īstenošanai, vienlaikus atbrīvojot REACT-EU ietvaros 13.1.3.1. pasākumam iedalītā (MK 2022. gada 22. marta sēdes protokollēmuma (prot. Nr. 17 34. §) 3.3. apakšpunkts) valsts budžeta finansējuma daļu 10 465 225 </w:t>
      </w:r>
      <w:r w:rsidR="00000000" w:rsidRPr="00000000" w:rsidDel="00000000">
        <w:rPr>
          <w:i w:val="1"/>
          <w:rtl w:val="0"/>
        </w:rPr>
        <w:t xml:space="preserve">euro</w:t>
      </w:r>
      <w:r w:rsidR="00000000" w:rsidRPr="00000000" w:rsidDel="00000000">
        <w:rPr>
          <w:rtl w:val="0"/>
        </w:rPr>
        <w:t xml:space="preserve"> un pārceļot to uz EAFVP darbības programmu, kā arī atlikušais finansējuma 2 752 612 </w:t>
      </w:r>
      <w:r w:rsidR="00000000" w:rsidRPr="00000000" w:rsidDel="00000000">
        <w:rPr>
          <w:i w:val="1"/>
          <w:rtl w:val="0"/>
        </w:rPr>
        <w:t xml:space="preserve">euro </w:t>
      </w:r>
      <w:r w:rsidR="00000000" w:rsidRPr="00000000" w:rsidDel="00000000">
        <w:rPr>
          <w:rtl w:val="0"/>
        </w:rPr>
        <w:t xml:space="preserve">apmērā novirzīts 4.2.2. SAM valsts budžeta virssaistību daļējai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 Eiropas Savienības fondu 2014.-2020. gada plānošanas perioda projektu īstenošanas termiņa beigām – 2023. gada 31. decembrim atlikušo laiku, 4.2.2. SAM un 13.1.3.1. pasākuma atlikumu nav paredzēts izmantot jaunām projektu iesniegumu atlasēm, radot iespēju to novirzīt kopumā uzņemto valsts budžeta virssaistību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2022.gada 21.jūnijā apstiprinātie DP grozījumi paredzēja 13.1.3.1.pasākumam piešķirt valsts budžeta finansējumu 13 184 071 </w:t>
      </w:r>
      <w:r w:rsidR="00000000" w:rsidRPr="00000000" w:rsidDel="00000000">
        <w:rPr>
          <w:i w:val="1"/>
          <w:rtl w:val="0"/>
        </w:rPr>
        <w:t xml:space="preserve">euro </w:t>
      </w:r>
      <w:r w:rsidR="00000000" w:rsidRPr="00000000" w:rsidDel="00000000">
        <w:rPr>
          <w:rtl w:val="0"/>
        </w:rPr>
        <w:t xml:space="preserve">apmērā Eiropas Komisijas REACT-EU finansējuma samazinātā piešķīruma 2022. gadam kompensēšanai. Izrietoši grozījumi MK noteikumos par 13.1.3.1.pasākuma īstenošanu līdz šim nebija vēl veikti. Vienlaikus, atbilstoši MK 2022.gada 18.oktobrī atbalstītajam risinājumam 10 465 225 </w:t>
      </w:r>
      <w:r w:rsidR="00000000" w:rsidRPr="00000000" w:rsidDel="00000000">
        <w:rPr>
          <w:i w:val="1"/>
          <w:rtl w:val="0"/>
        </w:rPr>
        <w:t xml:space="preserve">euro  </w:t>
      </w:r>
      <w:r w:rsidR="00000000" w:rsidRPr="00000000" w:rsidDel="00000000">
        <w:rPr>
          <w:rtl w:val="0"/>
        </w:rPr>
        <w:t xml:space="preserve">no šī piešķirtā valsts budžeta finansējuma tika novirzīti  EAFVP darbības programmai. Ņemot vērā minēto, 13.1.3.1.pasākumam paredzamais valsts budžeta finansējums ir 2 718 846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Izmaiņas ar saimnieciskās darbības atbalstu saistītajos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152 sākotnēji (2016. gadā) ietvertās normas atbilstoši to anotācijā norādītajam skaidrojumam piemēroja Eiropas Komisijas sagatavotā dokumenta Komisijas paziņojuma projektā par valsts atbalsta jēdzienu saskaņā ar LESD 107. panta 1. punktu 40.punktā ietverto principu, ka “jaukta izmantojuma gadījumā infrastruktūru izmanto galvenokārt tikai nesaimnieciskajai darbībai, valsts atbalsta noteikumi uz attiecīgo finansējumu var vispār neattiekties ar nosacījumu, ka saimnieciskā darbība ir vienīgi papildinoša, t.i., šī darbība ir tieši saistīta ar infrastruktūras ekspluatāciju un tai nepieciešama vai cieši saistīta ar tās galveno nesaimniecisko izmantojumu”. Atbilstoši minētajam principam atbalsts netika sniegts tām ēkām, kuru finansējuma saņēmēja iznomātā ēkas daļas platība vai platība, kurā tiek veikta jebkura cita saimnieciskā darbība, pārsniedza 15 procentus no kopējās ēkas platības. Šajā kontekstā infrastruktūras saimnieciskais izmantojums varēja tikt uzskatīts par papildinošu, ja šai darbībai ik gadu atvēlētā jauda nepārsniedza 15 procentus no infrastruktūras kopējās gada jaudas.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skaidrojums neietvēra pienākumu finansējuma saņēmējiem no projekta izslēgt citu saimniecisko darbību. Līdz ar to finansējuma saņēmēji, interpretējot 2016. gadā definēto skaidrojumu, bija koncentrējušies uz noteikto 15 procentu ierobežojumu, šo ierobežojumu nepārsniedzot, taču vienlaikus neizslēdzot citu saimniecisko darbību no projektiem, kas pēc būtības ir nesaimnieciska rakstura projekti, un tādējādi radot risku potenciāli nelikumīgam valsts atbalstam. Lai novērstu interpretācijas iespējas, attiecīgās atbalsta normas tika precizētas ar MK 2021. gada 14. septembra noteikumiem Nr. 639 "Grozījumi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īstenošanas noteikumi"", nosakot finansējuma saņēmējiem pienākumu izslēgt citu saimniecisko darbību no projektiem un veicot attiecīgus precizējumus īstenošanā esošajos projektos. Taču radušās situācijas rezultātā tika konstatēta neatbilstība iepriekšminētajiem atbalsta nosacījumiem atsevišķos jau pabeigtajos 4.2.2. SAM otrās kārtas projektos, kuros iepriekš minēto precizējumu veikšana nav iespējama. Ievērojot 4.2.2. SAM otrās kārtas atšķirīgos apstākļus, lai neradītu negatīvu seku un potenciāla nelikumīgā valsts atbalsta iestāšanos, tiek ierosināti grozījumi MK noteikumos Nr. 152, kas paredz </w:t>
      </w:r>
      <w:r w:rsidR="00000000" w:rsidRPr="00000000" w:rsidDel="00000000">
        <w:rPr>
          <w:i w:val="1"/>
          <w:rtl w:val="0"/>
        </w:rPr>
        <w:t xml:space="preserve">de minimis</w:t>
      </w:r>
      <w:r w:rsidR="00000000" w:rsidRPr="00000000" w:rsidDel="00000000">
        <w:rPr>
          <w:rtl w:val="0"/>
        </w:rPr>
        <w:t xml:space="preserve"> atbalstu 4.2.2. SAM otrās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noteikts, ka </w:t>
      </w:r>
      <w:r w:rsidR="00000000" w:rsidRPr="00000000" w:rsidDel="00000000">
        <w:rPr>
          <w:i w:val="1"/>
          <w:rtl w:val="0"/>
        </w:rPr>
        <w:t xml:space="preserve">de minimis</w:t>
      </w:r>
      <w:r w:rsidR="00000000" w:rsidRPr="00000000" w:rsidDel="00000000">
        <w:rPr>
          <w:rtl w:val="0"/>
        </w:rPr>
        <w:t xml:space="preserve"> atbalsts triju fiskālo gadu periodā, to piešķirot no 2017. gada, nevienā no trīs triju fiskālo gadu periodiem nepārsniedz 200 000 </w:t>
      </w:r>
      <w:r w:rsidR="00000000" w:rsidRPr="00000000" w:rsidDel="00000000">
        <w:rPr>
          <w:i w:val="1"/>
          <w:rtl w:val="0"/>
        </w:rPr>
        <w:t xml:space="preserve">euro </w:t>
      </w:r>
      <w:r w:rsidR="00000000" w:rsidRPr="00000000" w:rsidDel="00000000">
        <w:rPr>
          <w:rtl w:val="0"/>
        </w:rPr>
        <w:t xml:space="preserve">vienam vienotam uzņēmumam, piemēram, ja atbalsts piešķirts 2018. gadā, tad pārbaude veicama par periodiem no 2016. gada līdz 2018. gadam, no 2017. gada līdz 2019. gadam un no 2018. gada līdz 2020. gadam. Šajos periodos var būt arī notikušas izmaiņas viena vienota uzņēmuma sastāvā, tostarp, uzņēmumu apvienošana, iegāde vai sadalīšana, un tas ietekmē atlikumu līdz </w:t>
      </w:r>
      <w:r w:rsidR="00000000" w:rsidRPr="00000000" w:rsidDel="00000000">
        <w:rPr>
          <w:i w:val="1"/>
          <w:rtl w:val="0"/>
        </w:rPr>
        <w:t xml:space="preserve">de minimis</w:t>
      </w:r>
      <w:r w:rsidR="00000000" w:rsidRPr="00000000" w:rsidDel="00000000">
        <w:rPr>
          <w:rtl w:val="0"/>
        </w:rPr>
        <w:t xml:space="preserve"> atbalsta regulā noteiktajam limitam. Ievērojot laika nogriezni, kurā tika pieņemti lēmumi par apstiprinātajiem 4.2.2. SAM otrās kārtas projektiem (2017. gada janvāris – 2019. gada maijs),  piemērojami MK 2014.gada 2.decembra noteikumi Nr.740 “</w:t>
      </w:r>
      <w:r w:rsidR="00000000" w:rsidRPr="00000000" w:rsidDel="00000000">
        <w:rPr>
          <w:i w:val="1"/>
          <w:rtl w:val="0"/>
        </w:rPr>
        <w:t xml:space="preserve">De minimis</w:t>
      </w:r>
      <w:r w:rsidR="00000000" w:rsidRPr="00000000" w:rsidDel="00000000">
        <w:rPr>
          <w:rtl w:val="0"/>
        </w:rPr>
        <w:t xml:space="preserve"> atbalsta uzskaites un piešķiršanas kārtība un uzskaites veidlapu paraugi”, kas nosaka </w:t>
      </w:r>
      <w:r w:rsidR="00000000" w:rsidRPr="00000000" w:rsidDel="00000000">
        <w:rPr>
          <w:i w:val="1"/>
          <w:rtl w:val="0"/>
        </w:rPr>
        <w:t xml:space="preserve">de minimis</w:t>
      </w:r>
      <w:r w:rsidR="00000000" w:rsidRPr="00000000" w:rsidDel="00000000">
        <w:rPr>
          <w:rtl w:val="0"/>
        </w:rPr>
        <w:t xml:space="preserve"> atbalstu līdz 2019. gada 1. jūlijam. Lēmumi par apstiprinātajiem projektiem, kuru ietekmēs attiecīgās Noteikumu projekta normas, pēc 2019. gada 1. jūlija netika pieņemti.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4.2.2. SAM projektos, kuros uz Noteikumu projekta apstiprināšanas brīdi nav cita saimnieciskā darbība (izņemot 4.2.2. SAM otrās kārtas pabeigtos projektus), projekta dzīves ciklā, veicot pārbaudes atklājas, ka ir uzsākta cita saimnieciskā darbība, tad finansējuma saņēmējs par to atbild kā par nelikumīgu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Izmaiņas ar atmaksājamo palīdzību saistītajos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politikas vienotajā informācijas sistēmā pieejamie dati uz 2023. gada 17. janvāri liecina, ka DP noteikto 4.2.2. SAM un 13.1.3.1. pasākuma līmenī sasniedzamo iznākuma rādītāju vērtības sabiedriskajās (pašvaldību) ēkās ir sasniegtas: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samazināts primārās enerģijas gada patēriņš (rādītāji i.4.2.2.ak (CO32) un i.13.1.3.a (CO32)) – 31 452 150 kilovatstundas (kWh)/gadā, kas ir 137% no DP noteiktā rādītāja – vismaz 22 943 474 kWh/gadā, t.sk. 18 241 412 kWh/gadā 4.2.2. SAM un 4 702 062 kWh/gadā 13.1.3.1.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sasniegts siltumnīcefekta gāzu samazinājums (rādītājs i.4.2.2.ck (CO34) un i.13.1.3.b (CO34)) – 7 196 ogļskābās gāzes ekvivalenta tonnas (t CO</w:t>
      </w:r>
      <w:r w:rsidR="00000000" w:rsidRPr="00000000" w:rsidDel="00000000">
        <w:rPr>
          <w:vertAlign w:val="subscript"/>
          <w:rtl w:val="0"/>
        </w:rPr>
        <w:t xml:space="preserve">2</w:t>
      </w:r>
      <w:r w:rsidR="00000000" w:rsidRPr="00000000" w:rsidDel="00000000">
        <w:rPr>
          <w:rtl w:val="0"/>
        </w:rPr>
        <w:t xml:space="preserve"> ekv.)/gadā, kas ir 112% no DP noteiktā rādītāja – vismaz 6 418 t CO</w:t>
      </w:r>
      <w:r w:rsidR="00000000" w:rsidRPr="00000000" w:rsidDel="00000000">
        <w:rPr>
          <w:vertAlign w:val="subscript"/>
          <w:rtl w:val="0"/>
        </w:rPr>
        <w:t xml:space="preserve">2</w:t>
      </w:r>
      <w:r w:rsidR="00000000" w:rsidRPr="00000000" w:rsidDel="00000000">
        <w:rPr>
          <w:rtl w:val="0"/>
        </w:rPr>
        <w:t xml:space="preserve"> ekv./gadā, t.sk. 4 600 t CO</w:t>
      </w:r>
      <w:r w:rsidR="00000000" w:rsidRPr="00000000" w:rsidDel="00000000">
        <w:rPr>
          <w:vertAlign w:val="subscript"/>
          <w:rtl w:val="0"/>
        </w:rPr>
        <w:t xml:space="preserve">2</w:t>
      </w:r>
      <w:r w:rsidR="00000000" w:rsidRPr="00000000" w:rsidDel="00000000">
        <w:rPr>
          <w:rtl w:val="0"/>
        </w:rPr>
        <w:t xml:space="preserve"> ekv./gadā 4.2.2. SAM un 1 818 t CO</w:t>
      </w:r>
      <w:r w:rsidR="00000000" w:rsidRPr="00000000" w:rsidDel="00000000">
        <w:rPr>
          <w:vertAlign w:val="subscript"/>
          <w:rtl w:val="0"/>
        </w:rPr>
        <w:t xml:space="preserve">2</w:t>
      </w:r>
      <w:r w:rsidR="00000000" w:rsidRPr="00000000" w:rsidDel="00000000">
        <w:rPr>
          <w:rtl w:val="0"/>
        </w:rPr>
        <w:t xml:space="preserve"> ekv./gadā 13.1.3.1.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 atjaunojamiem energoresursiem ražotā papildjauda (rādītājs i.4.2.2.bk (CO30)) – 1,028 MW, kas ir 110% no DP noteiktā rādītāja 0,939 MW 4.2.2. SAM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13.1.3.1. pasākuma projektu iesniegumu atlases uzsaukumi atklātas projektu iesniegumu atlases veidā norisinājās, sākoties no 2021. gada oktobra un vienošanās par projektu īstenošanu slēgtas 2022. gadā, šajā pasākumā pabeigtu projektu vēl nav. Taču projektos plānotie rādītāji norāda uz to, ka arī 13.1.3.1. pasākumā tiks pārsniegtas DP plānotās iznākumu rādītāju vērtības, proti, 74 apstiprinātajos piektās kārtas projektos plānots sasniegt ikgadējo primārās enerģijas ietaupījumu 13 833 698 kWh apmērā (295% no DP plānotās vērtības 4 702 062 kWh/gadā) un nodrošināt ikgadējo siltumnīcefekta gāzu emisiju samazinājumu 1 917 t CO</w:t>
      </w:r>
      <w:r w:rsidR="00000000" w:rsidRPr="00000000" w:rsidDel="00000000">
        <w:rPr>
          <w:vertAlign w:val="subscript"/>
          <w:rtl w:val="0"/>
        </w:rPr>
        <w:t xml:space="preserve">2</w:t>
      </w:r>
      <w:r w:rsidR="00000000" w:rsidRPr="00000000" w:rsidDel="00000000">
        <w:rPr>
          <w:rtl w:val="0"/>
        </w:rPr>
        <w:t xml:space="preserve"> ekv. apmērā (105% no plānotās vērtības 1 818 t CO</w:t>
      </w:r>
      <w:r w:rsidR="00000000" w:rsidRPr="00000000" w:rsidDel="00000000">
        <w:rPr>
          <w:vertAlign w:val="subscript"/>
          <w:rtl w:val="0"/>
        </w:rPr>
        <w:t xml:space="preserve">2</w:t>
      </w:r>
      <w:r w:rsidR="00000000" w:rsidRPr="00000000" w:rsidDel="00000000">
        <w:rPr>
          <w:rtl w:val="0"/>
        </w:rPr>
        <w:t xml:space="preserve"> ekv./gadā).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Nr.152 nosaka, ka gadījumā, ja projekta iznākuma rādītāji noteiktajā laikā pēc projekta pabeigšanas netiek sasniegti, tiek piemērots atmaksājamās palīdzības mehānisms, t.i., finansējuma saņēmējs atmaksā Centrālajai finanšu un līgumu aģentūrai (turpmāk – CFLA) ERAF finansējumu proporcionāli tā iznākuma rādītāja vērtībai, kura izpilde proporcionāli ir vismazākā, sākot no rādītāja neizpildes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noteiktajā laikā pēc projekta pabeigšanas var būt situācija, kad kāda iznākuma rādītāja sasniegšana nebūtiski (1%-15%) atpaliek no projektā plānotā apmēra, kā arī to, ka visas DP noteiktās projektu iznākuma rādītāju vērtības ir sasniegtas (pārsniegtas) un Latvijai nepastāv finansiāli riski pret Eiropas Komisiju 4.2.2 SAM ietvaros, kā arī ir zemi riski 13.1.3.1. pasākuma ietvaros, ievērojot projektos plānoto rādītāju pārsniegumu, Noteikumu projekts paredz pārskatīt atmaksājamās palīdzības mehānismu (formulu), nosakot, ka atmaksa par iznākuma rādītāju neizpildi sākas virs 15% neizpildes, nevis no 1%, kā tas ir noteikts šobrīd. Precizētais nosacījums ir labvēlīgs pašvaldībām, tas vienādi attiecas uz visām 4.2.2. SAM un 13.1.3.1. pasākuma projektu iesniegumu atlases 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ka Noteikumu projektā paredzētie grozījumi nav būtiski Eiropas Parlamenta un Padomes 2013.gada 17.decembra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Eiropas Komisijas programmas "Atveseļošanas palīdzība kohēzijai un Eiropas teritorijām", kas nodrošina papildu ERAF finansējumu COVID-19 izraisītās krīzes seku mazināšanai Eiropas Savienības fondu 2014.-2020. gada plānošanas perioda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Nepieciešamība veikt grozījumus MK noteikumos Nr. 152 noteiktā 4.2.2. SAM un 13.1.3.1. pasākuma finansējuma sadalījumā, lai izpildītu MK protokollēmuma 4.3. punktā noteikto un nodrošinātu nepieciešamo papildu finansējumu pārtikas un pamata materiālās palīdzības nodrošināšanai EAFVP darbības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Nepieciešamība piemērot </w:t>
      </w:r>
      <w:r w:rsidR="00000000" w:rsidRPr="00000000" w:rsidDel="00000000">
        <w:rPr>
          <w:i w:val="1"/>
          <w:rtl w:val="0"/>
        </w:rPr>
        <w:t xml:space="preserve">de minimis</w:t>
      </w:r>
      <w:r w:rsidR="00000000" w:rsidRPr="00000000" w:rsidDel="00000000">
        <w:rPr>
          <w:rtl w:val="0"/>
        </w:rPr>
        <w:t xml:space="preserve"> atbalstu 4.2.2. SAM otrās kārtas ietvaros jau pabeigtajos projektos, lai novērstu potenciālu nelikumīgu valsts atbalstu un negatīvu seku iestāšanos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MK noteikumi Nr.152 nosaka, ka gadījumā, ja projekta iznākuma rādītāji noteiktajā laikā pēc projekta pabeigšanas netiek sasniegti, tiek piemērots atmaksājamās palīdzības mehānisms, t.i., finansējuma saņēmējs atmaksā CFLA ERAF finansējumu proporcionāli tā iznākuma rādītāja vērtībai, kura izpilde proporcionāli ir vismazākā, sākot no rādītāja neizpildes 1%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izpildītu MK protokollēmumā noteikto, Noteikumu projekts paredz veikt nepieciešamās izmaiņas (MK noteikumu Nr. 152 15. punkts) 4.2.2. SAM pirmās projektu iesniegumu atlases kārtas "Energoefektivitātes paaugstināšana un atjaunojamo energoresursu izmantošana nacionālas nozīmes attīstības centru pašvaldībās" (turpmāk – 4.2.2. SAM pirmā kārta) un 4.2.2. SAM un 13.1.3.1. pasākuma ietvaros īstenotās piektās projektu iesniegumu atlases kārtas "Energoefektivitātes paaugstināšana pašvaldību infrastruktūrā ekonomiskās situācijas uzlabošanai" (turpmāk – piektā kārta)</w:t>
      </w:r>
      <w:r w:rsidR="00000000" w:rsidRPr="00000000" w:rsidDel="00000000">
        <w:rPr>
          <w:vertAlign w:val="superscript"/>
          <w:rtl w:val="0"/>
        </w:rPr>
        <w:t xml:space="preserve">2</w:t>
      </w:r>
      <w:r w:rsidR="00000000" w:rsidRPr="00000000" w:rsidDel="00000000">
        <w:rPr>
          <w:rtl w:val="0"/>
        </w:rPr>
        <w:t xml:space="preserve"> finansējuma sadalījumā, kopējo 4.2.2. SAM un 13.1.3.1. pasākuma finansējumu, t.sk dalījumā pa kārtām saglabājot nemainīgu: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- 4.2.2. SAM pirmajā kārtā no 22 863 510 </w:t>
      </w:r>
      <w:r w:rsidR="00000000" w:rsidRPr="00000000" w:rsidDel="00000000">
        <w:rPr>
          <w:i w:val="1"/>
          <w:rtl w:val="0"/>
        </w:rPr>
        <w:t xml:space="preserve">euro </w:t>
      </w:r>
      <w:r w:rsidR="00000000" w:rsidRPr="00000000" w:rsidDel="00000000">
        <w:rPr>
          <w:rtl w:val="0"/>
        </w:rPr>
        <w:t xml:space="preserve">uz 25 616 122 </w:t>
      </w:r>
      <w:r w:rsidR="00000000" w:rsidRPr="00000000" w:rsidDel="00000000">
        <w:rPr>
          <w:i w:val="1"/>
          <w:rtl w:val="0"/>
        </w:rPr>
        <w:t xml:space="preserve">euro </w:t>
      </w:r>
      <w:r w:rsidR="00000000" w:rsidRPr="00000000" w:rsidDel="00000000">
        <w:rPr>
          <w:rtl w:val="0"/>
        </w:rPr>
        <w:t xml:space="preserve">palielināt ERAF finansējuma daļu un samazināt projektos uzņemto valsts budžeta virssaistību finansējumu no 7 595 281 </w:t>
      </w:r>
      <w:r w:rsidR="00000000" w:rsidRPr="00000000" w:rsidDel="00000000">
        <w:rPr>
          <w:i w:val="1"/>
          <w:rtl w:val="0"/>
        </w:rPr>
        <w:t xml:space="preserve">euro </w:t>
      </w:r>
      <w:r w:rsidR="00000000" w:rsidRPr="00000000" w:rsidDel="00000000">
        <w:rPr>
          <w:rtl w:val="0"/>
        </w:rPr>
        <w:t xml:space="preserve">uz 4 842 669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piektajā kārtā no 2 185 800 </w:t>
      </w:r>
      <w:r w:rsidR="00000000" w:rsidRPr="00000000" w:rsidDel="00000000">
        <w:rPr>
          <w:i w:val="1"/>
          <w:rtl w:val="0"/>
        </w:rPr>
        <w:t xml:space="preserve">euro </w:t>
      </w:r>
      <w:r w:rsidR="00000000" w:rsidRPr="00000000" w:rsidDel="00000000">
        <w:rPr>
          <w:rtl w:val="0"/>
        </w:rPr>
        <w:t xml:space="preserve">uz 12 651 025 </w:t>
      </w:r>
      <w:r w:rsidR="00000000" w:rsidRPr="00000000" w:rsidDel="00000000">
        <w:rPr>
          <w:i w:val="1"/>
          <w:rtl w:val="0"/>
        </w:rPr>
        <w:t xml:space="preserve">euro </w:t>
      </w:r>
      <w:r w:rsidR="00000000" w:rsidRPr="00000000" w:rsidDel="00000000">
        <w:rPr>
          <w:rtl w:val="0"/>
        </w:rPr>
        <w:t xml:space="preserve">palielināt 4.2.2. SAM ERAF finansējuma daļu, vienlaikus no 35 242 760 </w:t>
      </w:r>
      <w:r w:rsidR="00000000" w:rsidRPr="00000000" w:rsidDel="00000000">
        <w:rPr>
          <w:i w:val="1"/>
          <w:rtl w:val="0"/>
        </w:rPr>
        <w:t xml:space="preserve">euro </w:t>
      </w:r>
      <w:r w:rsidR="00000000" w:rsidRPr="00000000" w:rsidDel="00000000">
        <w:rPr>
          <w:rtl w:val="0"/>
        </w:rPr>
        <w:t xml:space="preserve">uz 22 058 689 </w:t>
      </w:r>
      <w:r w:rsidR="00000000" w:rsidRPr="00000000" w:rsidDel="00000000">
        <w:rPr>
          <w:i w:val="1"/>
          <w:rtl w:val="0"/>
        </w:rPr>
        <w:t xml:space="preserve">euro </w:t>
      </w:r>
      <w:r w:rsidR="00000000" w:rsidRPr="00000000" w:rsidDel="00000000">
        <w:rPr>
          <w:rtl w:val="0"/>
        </w:rPr>
        <w:t xml:space="preserve">samazinot 13.1.3.1. pasākuma REACT-EU finansējuma daļu, kā arī norādot valsts budžeta finansējumu – 2 718 846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finansējuma avotu izmaiņu rezultātā atsevišķās jau noslēgtajās vienošanās par projektu īstenošanu būs nepieciešami grozījumi, ņemot vērā, ka Noteikumu projekts piektās kārtas ietvaros paredz ERAF finansējuma pārdali 10 465 225 </w:t>
      </w:r>
      <w:r w:rsidR="00000000" w:rsidRPr="00000000" w:rsidDel="00000000">
        <w:rPr>
          <w:i w:val="1"/>
          <w:rtl w:val="0"/>
        </w:rPr>
        <w:t xml:space="preserve">euro </w:t>
      </w:r>
      <w:r w:rsidR="00000000" w:rsidRPr="00000000" w:rsidDel="00000000">
        <w:rPr>
          <w:rtl w:val="0"/>
        </w:rPr>
        <w:t xml:space="preserve">apmērā no 13.1.3.1. pasākuma uz 4.2.2. SAM un jaunu finansējuma avotu – valsts budžeta finansējumu. Prioritāri finansējuma avots no REACT-EU uz 4.2.2. ERAF tiks mainīts projektiem, kuros sasniegts vai plānots sasniegt iznākuma rādītāju "No atjaunojamiem energoresursiem ražotā papildjauda" (i.4.2.2.bk (CO30)), kā arī projektiem, kuriem ir agrāki īstenošanas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normatīvo regulējumu, kas nosaka </w:t>
      </w:r>
      <w:r w:rsidR="00000000" w:rsidRPr="00000000" w:rsidDel="00000000">
        <w:rPr>
          <w:i w:val="1"/>
          <w:rtl w:val="0"/>
        </w:rPr>
        <w:t xml:space="preserve">de minimis</w:t>
      </w:r>
      <w:r w:rsidR="00000000" w:rsidRPr="00000000" w:rsidDel="00000000">
        <w:rPr>
          <w:rtl w:val="0"/>
        </w:rPr>
        <w:t xml:space="preserve"> atbalstu 4.2.2. SAM otrās kārtas ietvaros. Ņemot vērā, ka </w:t>
      </w:r>
      <w:r w:rsidR="00000000" w:rsidRPr="00000000" w:rsidDel="00000000">
        <w:rPr>
          <w:i w:val="1"/>
          <w:rtl w:val="0"/>
        </w:rPr>
        <w:t xml:space="preserve">de minimis</w:t>
      </w:r>
      <w:r w:rsidR="00000000" w:rsidRPr="00000000" w:rsidDel="00000000">
        <w:rPr>
          <w:rtl w:val="0"/>
        </w:rPr>
        <w:t xml:space="preserve"> atbalsts atbilstoši Noteikumu projektā iekļautajām normām būs pieejams no 2017. gada, tas tiks piešķirts, veicot grozījumus attiecīgajās vienošanās par pabeigto projektu īstenošanu, ievērojot regulas Nr. 1407/2013 7. panta 4. punktā un 8. pantā noteikto piemērošanas termiņu. Novēršot risku par potenciāla nelikumīga valsts atbalsta iestāšanos, minētie vienošanās par projekta īstenošanu grozījumi samazinās finansiālo slogu uz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Pārskatīt atmaksājamās palīdzības mehānismu (formulu), nosakot, ka atmaksa par iznākuma rādītāju neizpildi sākas virs 15% neizpildes, nevis no 1%, kā tas ir noteikts šobrīd.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sadalījums pa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4.2.2. SAM un 13.1.3.1. pasākuma ietvaros plānotās atbalstāmās darbības atbilst 13. intervences kodam “Publiskās infrastruktūras atjaunošana energoefektivitātes uzlabošanai, projektu demonstrēšana un atbalsta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Piektās kārtas projekti tiek finansēti gan no ERAF līdzekļiem 4.2.2. SAM ietvaros, gan REACT-EU līdzekļiem 13.1.3.1. 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SAM otrās kārtas pabeigtajos projektos, konstatējot neatbilstību valsts atbalsta normu nosacījumiem, pēc lēmuma par nelikumīgi sniegto valsts atbalstu komercdarbībai, tas jāatmaksā kopā ar procentiem saskaņā ar Komercdarbības atbalsta kontroles likuma V. nodaļu. Savukārt, nemainot ar atmaksājamo palīdzību saistītos nosacījumus, finansējuma saņēmējiem potenciāli tiek radītas negatīvas finansiālās sekas, jo rādītāju nesasniegšanas gadījumā finansējuma saņēmējam būtu jāatmaksā sadarbības iestādei ERAF finansējumu proporcionāli tā iznākuma rādītāja vērtībai, kura izpilde proporcionāli ir vismazākā, sākot jau no rādītāja neizpildes 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paredz labvēlīgākus nosacījumus, kas novērš negatīvu seku iestāšanos finansējuma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ārpus nacionālas nozīmes attīstības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ārpus nacionālas nozīmes attīstības centriem izveidotas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kapitālsabiedrības, kas veic pašvaldības deleģēto pārvaldes uzdevumu izpildi vai ir noslēgusi pakalpojumu līgumu par sabiedrisko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Attiecīgajiem finansējuma saņēmējiem ir jāņem vērā un jāpiemēro Noteikumu projektā noteiktās </w:t>
      </w:r>
      <w:r w:rsidR="00000000" w:rsidRPr="00000000" w:rsidDel="00000000">
        <w:rPr>
          <w:i w:val="1"/>
          <w:rtl w:val="0"/>
        </w:rPr>
        <w:t xml:space="preserve">de minimis</w:t>
      </w:r>
      <w:r w:rsidR="00000000" w:rsidRPr="00000000" w:rsidDel="00000000">
        <w:rPr>
          <w:rtl w:val="0"/>
        </w:rPr>
        <w:t xml:space="preserve"> atbalsta piemērošanas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tautsaimniecību, jo tiek veicināta ekonomikas attīstība un investīciju nonākšana tautsaimniecībā. Vērtējot projektu īstenošanas ietekmi uz administratīvajām procedūrām un to izmaksām, nav identificēts administratīvā sloga palielinājums ne potenciālajiem finansējuma saņēmējiem. </w:t>
      </w:r>
      <w:r w:rsidR="00000000" w:rsidRPr="00000000" w:rsidDel="00000000">
        <w:rPr>
          <w:i w:val="1"/>
          <w:rtl w:val="0"/>
        </w:rPr>
        <w:t xml:space="preserve">De minimis</w:t>
      </w:r>
      <w:r w:rsidR="00000000" w:rsidRPr="00000000" w:rsidDel="00000000">
        <w:rPr>
          <w:rtl w:val="0"/>
        </w:rPr>
        <w:t xml:space="preserve"> atbalsta pieejamība dod iespējas 4.2.2. SAM otrās kārtas finansējuma saņēmējiem novērst potenciālu nelikumīgu valsts atbalstu un negatīvu finanšu seku iestāšanos.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stigrākas prasības. Noteikumu projekts paredz, ka šo noteikumu ietvaros piešķirto de minimis atbalstu nedrīkst kumulēt ar atbalstu, kas piešķirts  citu atbalsta programmu vai individuālā atbalsta projektu ietvaros par vienām un tām pašām attiecināmajām izmaksām, lai mazinātu administratīvo slogu atbalsta sniedzējam un finansējuma saņēmējam, ievērojot to, ka 4.2.2. SAM otrās kārtas pabeigtajos projektos, uz kuriem de minimis regulējums attieksies, pašvaldību ēku pamata izmantojuma mērķis ir nesaimnieciskā darbība (tās tiek izmantotas galvenokārt pašvaldību funkciju un no tām izrietošo pārvaldes uzdevumu veikšanai) un atbalsta sniedzēja rīcībā nav informācija, ka šīs ēkas būtu saņēmušas atbalstu energoefektivitātes paaugstināšanai citās atbalsta programmās.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to iestādes, pašvaldību kapitālsabiedrības, kas veic pašvaldības deleģēto pārvaldes uzdevumu izpildi vai ir noslēgušas pakalpojumu līgumu par sabiedrisko pakalpojumu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23-TA-247</w:t>
    </w:r>
    <w:r>
      <w:br/>
    </w:r>
    <w:r w:rsidR="00000000" w:rsidRPr="00000000" w:rsidDel="00000000">
      <w:rPr>
        <w:rtl w:val="0"/>
      </w:rPr>
      <w:t xml:space="preserve">Izdrukāts 29.07.2026. 21.24 - 3.0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23-TA-247</w:t>
    </w:r>
    <w:r>
      <w:br/>
    </w:r>
    <w:r w:rsidR="00000000" w:rsidRPr="00000000" w:rsidDel="00000000">
      <w:rPr>
        <w:rtl w:val="0"/>
      </w:rPr>
      <w:t xml:space="preserve">Izdrukāts 29.07.2026. 21.24 - 3.0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anotācija_(ex_ante)_23-TA-247.docx</dc:title>
</cp:coreProperties>
</file>

<file path=docProps/custom.xml><?xml version="1.0" encoding="utf-8"?>
<Properties xmlns="http://schemas.openxmlformats.org/officeDocument/2006/custom-properties" xmlns:vt="http://schemas.openxmlformats.org/officeDocument/2006/docPropsVTypes"/>
</file>