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10. oktobra noteikumos Nr. 575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4.2.2.9. pasākuma "Izglītības procesa individualizācija un starpnozaru sadarbība profesionālās izglītības izcilībai" otrās projektu iesniegumu atlases kārtas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2023. gada 10. oktobra noteikumos Nr. 575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4.2.2.9. pasākuma "Izglītības procesa individualizācija un starpnozaru sadarbība profesionālās izglītības izcilībai" otrās projektu iesniegumu atlases kārtas īstenošanas noteikumi"" (turpmāk – noteikumu projekts) ir izstrādāts pēc Izglītības un zinātnes ministrijas (turpmāk - IZM) iniciatīvas un saskaņā ar Eiropas Savienības fondu 2021.–2027. gada plānošanas perioda vadības likuma 19. panta 6. un 13. punktu un Ministru kabineta 2024. gada 30. jūlija rīkojuma Nr. 635 "Par Valsts izglītības attīstības aģentūras pārveidošanu un Valsts izglītības satura centra un Jaunatnes starptautisko programmu aģentūras likvidāciju" (turpmāk  – MK rīkojums) 1. un 2.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precizēt 4.2.2.9. pasākuma otrās kārtas īstenošanai nepieciešamo izmaksu attiecināšanas nosacījumu, izslēdzot normu par vienkāršoto izmaksu metodikas izstrādāšanu finansējuma saņēmēja projekta vadības un īstenošanas personāla atlīdzības izmaksu attiecināšanai, svītrot atsauces uz sadarbību otrās kārtas projekta ieviešanā ar likvidēto institūciju - Valsts izglītības satura centru (turpmāk – VISC), aktualizēt atsauci uz normatīvo regulējumu, mazinot administratīvo slogu un birokrātiju otrās kārtas projekta ieviešanā.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10. oktobrī tika pieņemti Ministru kabineta noteikumi Nr. 575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4.2.2.9. pasākuma "Izglītības procesa individualizācija un starpnozaru sadarbība profesionālās izglītības izcilībai" otrās projekta iesniegumu atlases kārtas īstenošanas noteikumi"" (turpmāk – MK noteikumi Nr. 575) un 2023. gada 2. janvārī uzsākta Valsts izglītības attīstības aģentūras (turpmāk - VIAA) projekta Nr. 4.2.2.9/2/23/I/001 "Atbalsts prasmju izcilībai profesionālajā izglītībā" (turpmāk - otrās kārtas projekts)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4.2.2.9. pasākuma otrās kārtas projektu (kopējais pieejamais finansējums 3 850 000 </w:t>
      </w:r>
      <w:r w:rsidR="00000000" w:rsidRPr="00000000" w:rsidDel="00000000">
        <w:rPr>
          <w:i w:val="1"/>
          <w:rtl w:val="0"/>
        </w:rPr>
        <w:t xml:space="preserve">euro</w:t>
      </w:r>
      <w:r w:rsidR="00000000" w:rsidRPr="00000000" w:rsidDel="00000000">
        <w:rPr>
          <w:rtl w:val="0"/>
        </w:rPr>
        <w:t xml:space="preserve">) plānots ieviest ne ilgāk kā līdz 2027. gada 31. decembrim.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Otrās kārtas projektā VIAA nodrošina profesionālās izglītības meistarības nacionālo konkursu </w:t>
      </w:r>
      <w:r w:rsidR="00000000" w:rsidRPr="00000000" w:rsidDel="00000000">
        <w:rPr>
          <w:i w:val="1"/>
          <w:rtl w:val="0"/>
        </w:rPr>
        <w:t xml:space="preserve">Skills Latvija</w:t>
      </w:r>
      <w:r w:rsidR="00000000" w:rsidRPr="00000000" w:rsidDel="00000000">
        <w:rPr>
          <w:rtl w:val="0"/>
        </w:rPr>
        <w:t xml:space="preserve"> īstenošanu. Līdz šim noorganizēts konkurss </w:t>
      </w:r>
      <w:r w:rsidR="00000000" w:rsidRPr="00000000" w:rsidDel="00000000">
        <w:rPr>
          <w:i w:val="1"/>
          <w:rtl w:val="0"/>
        </w:rPr>
        <w:t xml:space="preserve">Skills Latvia 2024 </w:t>
      </w:r>
      <w:r w:rsidR="00000000" w:rsidRPr="00000000" w:rsidDel="00000000">
        <w:rPr>
          <w:rtl w:val="0"/>
        </w:rPr>
        <w:t xml:space="preserve">(tai skaitā 20 pusfināli un fināls 20 prasmju konkursos) un konkurss </w:t>
      </w:r>
      <w:r w:rsidR="00000000" w:rsidRPr="00000000" w:rsidDel="00000000">
        <w:rPr>
          <w:i w:val="1"/>
          <w:rtl w:val="0"/>
        </w:rPr>
        <w:t xml:space="preserve">Skills Latvia 2025 </w:t>
      </w:r>
      <w:r w:rsidR="00000000" w:rsidRPr="00000000" w:rsidDel="00000000">
        <w:rPr>
          <w:rtl w:val="0"/>
        </w:rPr>
        <w:t xml:space="preserve">(tai skaitā 20 pusfināli un fināls 20 prasmju konkursos) un konkursantu sagatavošanu un Latvijas nacionālās delegācijas dalības nodrošināšanu starptautiskajos jauno profesionāļu meistarības konkursos </w:t>
      </w:r>
      <w:r w:rsidR="00000000" w:rsidRPr="00000000" w:rsidDel="00000000">
        <w:rPr>
          <w:i w:val="1"/>
          <w:rtl w:val="0"/>
        </w:rPr>
        <w:t xml:space="preserve">EuroSkills</w:t>
      </w:r>
      <w:r w:rsidR="00000000" w:rsidRPr="00000000" w:rsidDel="00000000">
        <w:rPr>
          <w:rtl w:val="0"/>
        </w:rPr>
        <w:t xml:space="preserve"> un </w:t>
      </w:r>
      <w:r w:rsidR="00000000" w:rsidRPr="00000000" w:rsidDel="00000000">
        <w:rPr>
          <w:i w:val="1"/>
          <w:rtl w:val="0"/>
        </w:rPr>
        <w:t xml:space="preserve">WorldSkills. L</w:t>
      </w:r>
      <w:r w:rsidR="00000000" w:rsidRPr="00000000" w:rsidDel="00000000">
        <w:rPr>
          <w:rtl w:val="0"/>
        </w:rPr>
        <w:t xml:space="preserve">īdz šim nodrošināta dalība konkursā </w:t>
      </w:r>
      <w:r w:rsidR="00000000" w:rsidRPr="00000000" w:rsidDel="00000000">
        <w:rPr>
          <w:i w:val="1"/>
          <w:rtl w:val="0"/>
        </w:rPr>
        <w:t xml:space="preserve">EuroSkills Gdansk 2023</w:t>
      </w:r>
      <w:r w:rsidR="00000000" w:rsidRPr="00000000" w:rsidDel="00000000">
        <w:rPr>
          <w:rtl w:val="0"/>
        </w:rPr>
        <w:t xml:space="preserve"> Gdaņskā, Polijā 2023. gadā; </w:t>
      </w:r>
      <w:r w:rsidR="00000000" w:rsidRPr="00000000" w:rsidDel="00000000">
        <w:rPr>
          <w:i w:val="1"/>
          <w:rtl w:val="0"/>
        </w:rPr>
        <w:t xml:space="preserve">WorldSkills Lyon 2024</w:t>
      </w:r>
      <w:r w:rsidR="00000000" w:rsidRPr="00000000" w:rsidDel="00000000">
        <w:rPr>
          <w:rtl w:val="0"/>
        </w:rPr>
        <w:t xml:space="preserve"> Lionā, Francijā, 2024. gadā un </w:t>
      </w:r>
      <w:r w:rsidR="00000000" w:rsidRPr="00000000" w:rsidDel="00000000">
        <w:rPr>
          <w:i w:val="1"/>
          <w:rtl w:val="0"/>
        </w:rPr>
        <w:t xml:space="preserve">EuroSkills 2025</w:t>
      </w:r>
      <w:r w:rsidR="00000000" w:rsidRPr="00000000" w:rsidDel="00000000">
        <w:rPr>
          <w:rtl w:val="0"/>
        </w:rPr>
        <w:t xml:space="preserve"> Herningā, Dānijā, 2025. gadā. Tā pat projektā tiek organizēti informatīvie un mācību pasākumi profesionālās izglītības iestādēm un to pedagogiem par starptautiskajiem prasmju standartiem, prasmju novērtēšanu un to piemērošanu profesionālajā izglītībā, profesionālās meistarības konkursu un talantu attīstības īstenošanas modeļa izstrāde profesionālajā izglītībā, kā arī informācijas apmaiņa un sadarbības pasākumi ar nozaru ekspertu padomēm un nozaru organizācijām par starptautisko prasmju standartu prasību pārnesi uz profesionālās izglītības satura izstrādi, īstenošanu un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575 15.1. apakšpunkts nosaka tiešās attiecināmās projekta vadības un īstenošanas personāla izmaksas, kas līdz atbildīgās iestādes izstrādātās vienkāršoto izmaksu metodikas apstiprināšanai ir attiecināmas kā faktiskās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10. oktobra sēdes protokola Nr. 50 35. § "Noteikumu projekts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4.2.2.9. pasākuma "Izglītības procesa individualizācija un starpnozaru sadarbība profesionālās izglītības izcilībai" otrās projekta iesniegumu atlases kārtas īstenošanas noteikumi""  (23-TA-262) 5. punkts nosaka uzdevumu IZM līdz 2025. gada 30. jūnijam nodrošināt atbilstošas vienkāršoto izmaksu metodikas izstrādi un apstiprināšanu 4.2.2.9. pasākuma otrās kārtas projekta vadības un īstenošanas personāla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05.02.2025. vēstulē Nr. 5.1-36/11-2/368 “Par vienkāršoto izmaksu metodiku izstrādi personāla izmaksām” Finanšu ministrija kā vadošā iestāde ir informējusi IZM kā atbildīgo iestādi, kādas iespējas turpmāk ir piemērojamas personāla izmaksu attiecināšanai projektu līmenī, piemēram, iespēja izmantot faktisko izmaksu metodi [1]. Faktisko izmaksu metode paredz, ka atalgojumam projektā ir jābūt saskaņā ar iestādes kopējo atalgojuma politiku un atalgojuma apmēriem neatkarīgi no finansēšanas avota.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Nostiprināts arī Ministru kabineta 03.06.2025. sēdes protokola Nr. 22 25. § Informatīvajā ziņojumā "Par Finanšu ministrijas pārziņā esošo Eiropas Savienības fondu un ārvalstu finanšu palīdzības aktualitātēm līdz 2025. gada aprīlim" (turpmāk – informatīvais ziņojums), https://vktap.mk.gov.lv/legal_acts/headers/f405cdb5-a9f0-4d91-be69-1da859eda91b</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apsvērumus vienkāršoto izmaksu metodikas izstrādei un piemērošanai 4.2.2.9. pasākuma otrās kārtas finansējuma saņēmēja – VIAA projekta vadības un īstenošanas personāla atlīdzībām, secināts, ka tas radīs lielāku administratīvo slogu nekā faktisko izmaksu piemērošanas turpināšana. VIAA otrās kārtas projektu sekmīgi ievieš kopš 2023. gada 2. janvāra un projekta īstenošana plānota līdz 2027. gada 31. decembrim. Vienlaikus ņemot vērā informatīvajā ziņojumā norādīto par faktisko izmaksu izmantošanu projektā iesaistītā personāla atlīdzībām, atbilstošākais risinājums ir MK noteikumos Nr. 575 svītrot atsauci uz vienkāršoto izmaksu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rīkojums saskaņā ar Valsts pārvaldes iekārtas likuma 15. panta ceturtās daļas 5. punktu paredz VISC likvidāciju ar 2025. gada 1. janvāri, nododot VISC funkcijas un uzdevumus VIAA, kā arī VIAA pārveidošanu. Attiecīgi MK noteikumos Nr. 575 nepieciešams aktualizēt regulējumu, svītrojot sadarbības pasākumus ar likvidēto iestādi - VISC, kura funkciju, pārvaldes uzdevumu, tiesību pārņēmēja ir VIAA.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2024. gada 30. jūlija rīkojums Nr. 635 "Par Valsts izglītības attīstības aģentūras pārveidošanu un Valsts izglītības satura centra un Jaunatnes starptautisko programmu aģentūras likvidāciju", https://likumi.lv/ta/id/353990-par-valsts-izglitibas-attistibas-agenturas-parveidosanu-un-valsts-izglitibas-satura-centra-un-jaunatnes-starptautisko-programmu-agenturas-likvidaciju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MK noteikumu Nr. 575 redakcijas atbilstību aktuālajai situācijai, veidotu vienotu izpratni normu piemērošanai un aktualizētu projekta ieviešanas gaitā radušos precizējumus, ar noteikumu projektu tiek precizēts MK noteikumu Nr. 575: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13.3.3. apakšpunkts, svītrojot atsauci uz informācijas apmaiņas un sadarbības pasākumiem ar VISC par starptautisko prasmju standartu prasību pārnesi uz profesionālās izglītības satura izstrādi, īstenošanu un novērtēšanu un izcilības attīstību profesionālo prasmju apguvē;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25. punkts, svītrojot atsauci uz sadarbību ar VISC, lai izstrādātu un līdz 2025. gada 31. decembrim iesniegtu IZM profesionālās izglītības prasmju meistarības konkursu un talantu attīstības īstenošanas modeli pēc 2027.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rīkojums saskaņā ar Valsts pārvaldes iekārtas likuma 15. panta ceturtās daļas 5. punktu paredz VISC likvidāciju ar 2025. gada 1. janvāri, nododot VISC funkcijas un uzdevumus VIAA, kā arī VIAA pārveidošanu. Vienlaikus, ievērojot MK rīkojumā noteikto, no 2025. gada 1. janvāra VIAA ir Valsts izglītības satura centra funkciju, pārvaldes uzdevumu, tiesību, saistību, resursu, informācijas sistēmu, mantas, finanšu līdzekļu, lietvedības un arhīva pārņēmēja. IZM atbilstoši MK rīkojuma 6.1. apakšpunktam ir uzdots sagatavot un izglītības un zinātnes ministram iesniegt noteiktā kārtībā Ministru kabinetā saistītos tiesību aktu projektus, kurus ir nepieciešams mainīt saistībā ar MK rīkojuma 1.1. apakšpunktā minēto Valsts izglītības satura centra likvidāciju un VIAA pārveidošanu. Atbilstoši MK rīkojumam ar 2025. gada 1. janvāri VISC funkcijas un uzdevumi ir nodoti VIAA un 2025. gada 8. aprīlī stājās spēkā Ministru kabineta 2025. gada 1. aprīļa noteikumi Nr. 207 "Valsts izglītības attīstības aģentūras nolikums", kas piemērojami ar 2025. gada 1. janvāri.  Ievērojot minēto, nepieciešams veikt atbilstošus grozījumus MK noteikumos Nr. 575 attiecībā uz sadarbību ar institūciju, kas ir likvidēta.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 sadarbība projekta ieviešanā, par starptautisko prasmju standartu prasību pārnesi uz profesionālās izglītības satura izstrādi, īstenošanu un novērtēšanu un izcilības attīstību profesionālo prasmju apguvē, kā arī, lai izstrādātu profesionālās izglītības prasmju meistarības konkursu un talantu attīstības īstenošanas modeli pēc 2027. gada, turpināma VIAA departamentu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15.1. apakšpunkts, svītrojot teikuma daļu, kas paredz atbildīgajai iestādei pienākumu izstrādāt finansējuma saņēmēja projekta vadības un īstenošanas personāla atlīdzību vienkāršoto izmaksu metodiku. Izvērtējot apsvērumus vienkāršoto izmaksu metodikas izstrādei un piemērošanai finansējuma saņēmēja projekta vadības un īstenošanas personāla atlīdzībām, secināts, ka tas radīs lielāku administratīvo slogu nekā faktisko izmaksu piemērošana. Pasākuma otrās kārtas projekts tiek veiksmīgi ieviests kopš 02.01.2023. un līdz šim pie maksājumu pieprasījumiem nav konstatēti neatbilstoši veikti izdevumi vai riski (tai skaitā, atlīdzības izmaksās), savukārt ieviešot vienas vienības izmaksas, finansējuma saņēmējam būs nepieciešams veidot un piemērot jaunu iekšējo kārtību faktisko atlīdzības izmaksu un maksājumu pieprasījumos deklarēto atlīdzības izmaksu uzskaitei un uzraudzībai. Ievērojot minēto un Finanšu ministrijas informatīvajā ziņojumā noteikto, no MK noteikumu Nr. 575 15.1. apakšpunkta ir izslēdzama norma par vienkāršoto izmaksu metodikas izstrādāšanu un finansējuma saņēmēja projekta vadības un īstenošanas personāla atlīdzības izmaksas (izņemot virsstundas) otrās kārtas projektā, efektīvi un pamatoti un neradot papildu administratīvo slogu, ir turpināt attiecināt kā faktiskās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arī Ministru kabineta 2023. gada 10. oktobra sēdes protokola Nr. 50 35. § "Noteikumu projekts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4.2.2.9. pasākuma "Izglītības procesa individualizācija un starpnozaru sadarbība profesionālās izglītības izcilībai" otrās projekta iesniegumu atlases kārtas īstenošanas noteikumi"" (23-TA-262) 5. punkts ir atzīstams par aktualitāti zaudējušu, attiecīgu punktu iekļaujot noteikumu projekta Ministru kabineta sēdes protokollēmuma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30. punktā precizēta atsauce uz “Finanšu regulu”, ņemot vērā, ka 2024. gada 30. septembrī stājusies spēkā jauna “Finanšu regula” – Eiropas Parlamenta un Padomes 2024. gada 23. septembra Regula (ES, Euratom) 2024/2509 par finanšu noteikumiem, ko piemēro Savienības vispārējam budžetam (pārstrādāta redakcija) (turpmāk – Regula 2024/2509), un saskaņā ar Regulas 2024/2509 279. pantu tā atceļ iepriekšējo “Finanšu regulu” –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salāgotu ar Eiropas Parlamenta un Padomes 2021. gada 24. jūnija Regulā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lietoto terminoloģiju, 15.1. apakšpunktā un 17. punktā vārdi "personāla atlīdzības izmaksas" aizstāti ar vārdiem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administratīvā sloga mazināšanas nolūkos precizēts 24. punkts, kas paredz sociāli atbildīga iepirkuma veikšanu nenoteikt kā obligātu prasību, bet gan kā izvēles iespēju.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Plānotajiem grozījumiem ir ietekme uz īstenošanā esošo projektu, proti, ir nepieciešams veikt grozījumus vienošanās par projekta īstenošanu, bet grozījumi neietekmē projekta mērķu sasniegšanu (piemēram, svītrojot projektā informāciju par personāla izmaksu attiecināšanu kā vienkāršotās izmaksas), tādējādi nav uzskatāmi par būtiskiem.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2024. gada 30. jūlija rīkojums Nr. 635 "Par Valsts izglītības attīstības aģentūras pārveidošanu un Valsts izglītības satura centra un Jaunatnes starptautisko programmu aģentūras likvidāciju", https://likumi.lv/ta/id/353990-par-valsts-izglitibas-attistibas-agenturas-parveidosanu-un-valsts-izglitibas-satura-centra-un-jaunatnes-starptautisko-programmu-agenturas-likvidaciju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32024R2509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23. septembra Regula (ES, Euratom) 2024/2509 par finanšu noteikumiem, ko piemēro Savienības vispārējam budžetam (pārstrādāta redakcija)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2024. gada 23. septembra Regula (ES, Euratom) 2024/2509 par finanšu noteikumiem, ko piemēro Savienības vispārējam budžetam (pārstrādāta redakcija)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nemaina apstiprināto MK noteikumu Nr. 575 saturu pēc būtības un nerada būtisku ietekmi uz 4.2.2.9. pasākuma regulējumu kopumā, kā arī neparedz ieviest jaunas politiskās iniciatīvas, līdz ar to sabiedriskā apspriešana netiek iniciēta.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izpildē nemainās iesaistītās institūcijas un to pienākumi. IZM kā nozares ministrija un kā Eiropas Savienības fondu vadībā iesaistītā atbildīgā iestāde, Centrālā finanšu un līgumu aģentūra kā Eiropas Savienības fondu vadībā iesaistītā sadarbības iestāde, VIAA kā 4.2.2.9. pasākuma otrās kārtas finansējuma saņēmējs.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25-TA-110</w:t>
    </w:r>
    <w:r>
      <w:br/>
    </w:r>
    <w:r w:rsidR="00000000" w:rsidRPr="00000000" w:rsidDel="00000000">
      <w:rPr>
        <w:rtl w:val="0"/>
      </w:rPr>
      <w:t xml:space="preserve">Izdrukāts 29.07.2026. 22.41 - 3.0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25-TA-110</w:t>
    </w:r>
    <w:r>
      <w:br/>
    </w:r>
    <w:r w:rsidR="00000000" w:rsidRPr="00000000" w:rsidDel="00000000">
      <w:rPr>
        <w:rtl w:val="0"/>
      </w:rPr>
      <w:t xml:space="preserve">Izdrukāts 29.07.2026. 22.41 - 3.0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anotācija_(ex_ante)_25-TA-110.docx</dc:title>
</cp:coreProperties>
</file>

<file path=docProps/custom.xml><?xml version="1.0" encoding="utf-8"?>
<Properties xmlns="http://schemas.openxmlformats.org/officeDocument/2006/custom-properties" xmlns:vt="http://schemas.openxmlformats.org/officeDocument/2006/docPropsVTypes"/>
</file>