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 (turpmāk – Projekts) sagatavots, pamatojoties uz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kārtību, kādā tiek īstenots Eiropas Savienības kohēzijas politikas programmas 2021.-2027. gadam 4.3.4.9. pasākums “Sabiedrības saliedēšana, veicinot sabiedrības pašorganizēšanos un paplašinot sadarbības un līdzdarbības prasmes un iespējas” (turpmāk – 4.3.4.9.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gadā Latvija kļuva par pilntiesīgu Ekonomiskās sadarbības un attīstības organizācijas dalībvalsti (Organization for Economic Co-operation and Development). Ekonomiskās sadarbības un attīstības organizācija definē, ka saliedēta sabiedrība ir sabiedrība, kas darbojas visu sabiedrības locekļu labklājībai, cīnās pret sociālo atstumtību, veido piederības sajūtu, veicina uzticēšanos un nodrošina tās locekļiem augšupejošu sociālo mobilitāti jeb līdzdalības un rīcības iespēju paaugstināšanos neatkarīgi no sociālā statusa.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(apstiprināts Saeimas 2020. gada 2. jūlija sēdē) (turpmāk – NAP2027) prioritātes “Vienota, droša un atvērta sabiedrība” 386. mērķis “Pieaug iedzīvotāju īpatsvars, kas izjūt piederību un uzticas Latvijas sabiedrībai un tiesiskai valstij. Tāpēc cilvēki sniedz ieguldījumu savā, savu līdzcilvēku un valsts drošībā, labklājībā un attīstībā, mazinās negodīga rīcība. Cilvēki apzinās Latvijas un ikviena iedzīvotāja lomu globālajos procesos un ir atvērti sadarbībai kopēju izaicinājumu risināšanā. Latvija ir droša un tiesiska valsts. Droša valsts vide kalpo par pamatu labklājībai un attīstībai” nosaka 407. uzdevumu “Sabiedrības pašorganizēšanās, sadarbības un līdzdarbības prasmju un iespēju paplašināšana, jo īpaši attīstot jauniešu pilsonisko izglītību, iedzīvotāju līdzdarbību nevalstiskajās organizācijās, arodbiedrībās un brīvprātīgajā darbā, valsts NVO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2014.-2020. gadam vidustermiņa izvērtējums parādīja, ka nozīmīgs šķērslis pilsoniskajai līdzdalībai ir iedzīvotāju līdzdalības iespēju nevienlīdzība, kas saistīta ar nepietiekamām valsts valodas zināšanām, teritoriālu un informatīvu nošķirtību, fiziskiem vai veselības traucējumiem, kā arī ar sociālekonomisko nevienlīdzību.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viens no augstākajiem ienākumu nevienlīdzības rādītājiem Eiropas Savienībā. 2019. gadā nabadzības vai sociālās atstumtības riskam pakļauti 29,6% sieviešu un 24,6% vīriešu. Personas ar invaliditāti skar sociālā atstumtība, diskriminācija, ir negatīva pieredze ar dažādu pakalpojumu saņemšanu. Invaliditātes pensijas saņēmēji vecumā 18-24 gadi (33%), pakļauti augstam nabadzības riskam. Ilgstoša bezdarba, neveiksmīga darba meklēšanas pieredze 50+ gadu vecumā rada depresīvu sajūtu, veicina pašizolēšanos un pašdiskrimināciju.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Eirobarometra aptauju datiem Latvija ierindojas pēdējā vietā Eiropas Savienībā to iedzīvotāju īpatsvara ziņā, kas netic, ka valstī viņu balsij ir nozīme (71% no aptaujātajiem). 2021. gadā arī Ekonomiskās sadarbības un attīstības organizācija (OECD) īstenoja dalībvalstu, tai skaitā Latvijas, uzticēšanās pētījumu (OECD Trust Survey). Starpvalstu mērogā tikai mazāk nekā viena trešdaļa aptaujāto uzskata, ka valdības attaisno viņu cerības uz pilsonisko līdzdalību, tomēr arī šajā pētījumā 22 iesaistīto valstu vidū Latvija ieņem pēdējo vietu – tikai 13,7% aptaujāto ir pārliecināti, ka valsts politiskā sistēma ļauj viņiem iesaistīties valdības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pēdējo trīs gadu periodā kopumā ir samazinājusies Latvijas iedzīvotāju sabiedriskā un pilsoniskā līdzdalība[1], kas lielā mērā skaidrojams ar Covid-19 izraisīto pandēmiju un tās sekām. Biedrību un nodibinājumu darbā iesaistīto īpatsvars krities no 3% līdz 2%. Nemainīgs un izteikti zems saglabājies vietējo kopienu aktivitātēs iesaistīto īpatsvars –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pēdējo trīs gadu datus par nevalstisko organizāciju (turpmāk – NVO) sektora visbiežāk nosauktajiem darbības šķēršļiem, novērojams, ka izteikti pieaudzis divu problēmu minēšanas biežums – par 13% pieaudzis to organizāciju īpatsvars, kas norāda uz cilvēkresursu trūkumu (no 25% 2020. gadā līdz 38% 2022. gadā), un par 7% to īpatsvars, kas norāda uz neregulāru finansējumu (attiecīgi no 47% līdz 53%)[2]. Būtiskākās nepilnības cilvēkresursu jomā ir tieši algoto darbinieku aspektā un dažādu ekspertu un speciālistu pieejamībā. Savukārt biedrību un nodibinājumu finansiālā ilgtspēja ir vāja, jo liela daļa organizāciju ir atkarīgas no kāda viena finansējuma avota[3].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pētījumā “Nevalstisko organizāciju sektors Latgalē. Cik liels? Cik spēcīgs? Cik gatavs krīzēm?” secināts, ka nevalstisko organizāciju sektors Latgales reģionā ir visai noplicināts – administratīvā kapacitāte ir zema, vien 8% no visām nevalstiskajām organizacijām ir spējīgas nodarbināt kaut vienu darbinieku, taču arī šādos gadījumos darbinieki ne vienmēr ir pastāvīgi nodarbināti. Pētījumā uzrunātie nevalstisko organizāciju pārstāvji atzina, ka nevalstisko organizāciju sektors Latgalē nav bijis aktīvs krīžu situācijas – nevalstiskās organizācijas neiesaistījās palīdzības sniegšanā pandēmijas laikā un neiesaistījās aktivitātēs kara pirmajās dienās, kad Latvijā ieplūda daudz bēgļu no Ukrainas. Balstoties uz fokusgrupu rezultātiem var secināt, ka nevalstisko organizāciju reaģētspēja krīzes sākumposmā ir ļoti zema. Vienlaikus pētījumā secināts, ka, lai arī kopumā nevalstisko organizāciju sektors Latgales reģionā šobrīd ir noplicināts, nevalstisko organizāciju aktīvisti fokusgrupās apliecina, ka viņiem ir augsta motivācija turpināt darboties nevalstisko organizāciju sektorā un viņi tic, ka dara sabiedrībai nozīmīgu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Latgalē reģistrētas aptuveni 7% no visām Latvijas biedrībām un nodibinājumiem jeb nedaudz virs 2 tūkst. Nevalstiskās organizācijas un to blīvums visās deviņās pašvaldībās ir līdzīgi zems. No reģistrēto organizāciju skaita tādu, kuras faktiski darbojas, ir ievērojami mazāk. Pēc dažādiem nevalstisko organizāciju raksturojošiem rādītājiem, teiktā intervijās un fokusgrupās var lēst, ka organizāciju skaits, kuras ikdienā vairāk vai mazāk aktīvi darbojas ir vismaz uz pusi mazāk nekā to, kas šobrīd reģistrējušas darbību Biedrību un nodibinājumu reģistrā un savu darbību nav likvidējušas. Tādēļ kopumā nevalstisko organizāciju sektors no nevalstisko organizāciju skaita viedokļa ir ļoti mazs.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aktivitātes barometrs 2022. Kultūras patēriņa un līdzdalības ietekmes pētījums. Kultūras ministrija, Latvijas Kultūras akadēmija. Pieejams: https://www.km.gov.lv/lv/petijumi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finansētās programmas “NVO fonds” darbības (rezultātu un ieguldījuma) izvērtējuma rezultātu ziņojums 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Pilsoniskās alianse, 2022. gada pētījums “Pilsoniskās sabiedrības organizāciju resursi: esošā situācija un vajadzības 2022” (406 respondenti).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https://nvo.lv/uploads/pilsoniskas_sabiedribas_organizaciju_resursi_esosa_situacija_un_vajadzibas_2022946.pdf.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4.3.4.9. pasākuma ietvaros atbalsts plānots sabiedrības noturības spēju stiprināšanai, pašorganizēšanās, sadarbības un līdzdarbības prasmju paplašināšanai un iespēju veicināšanai, īpaši sabiedrības grupām ar zemu līdzdalības īpatsvaru – cilvēkiem ar zemiem ienākumiem, nepilsoņiem un krievvalodīgajiem iedzīvotājiem, mazākumtautību, romu kopienas un diasporas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īstenot sabiedrības līdzdalības pasākumus saliedētas un pilsoniski aktīvas sabiedrības attīstības veicināšanai, izpratnes veidošanai par kopējo labumu un iedzīvotāju atbildības izjūtas veicināšanai par līdzcilvēkiem, kā arī veicināt savstarpējo uzticēšanos starp dažādām sabiedrības grupām un solidaritāti. Pasākuma ietvaros plānots atbalsts Latvijas reģionu nevalstiskajām organizācijām un aktīvajiem iedzīvotājiem, lai nodrošinātu to efektīvu un ilgtspējīgu darbību, izmantojot un attīstot reģionālo nevalstisko organizāciju atbalsta centru potenciālu, ar mērķi attīstīt aktīvas un iekļaujošas līdzdalības tradīcijas, it īpaši vēršot uzmanību tādu risinājumu attīstībai, kas veicina mazaizsargātu vai sociālās atstumtības riskam pakļautu iedzīvotāju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un citos starptautiskos pētījumos sabiedrības saliedētība tiek saistīta ar kopības izjūtu, sabiedrības spēju atjaunoties un orientāciju uz kopīgu labumu. Sabiedrības saliedētība tiek cieši saistīta arī ar ekonomisko izaugsmi un valstu labklājību.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līmenī definētais saliedētas sabiedrības koncepts ietver trīs savstarpēji saistītas dimensijas: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iedzīvotāju savstarpējās attiecības – savstarpēja uzticēšanās, sociālo tīklu veidošanās, sabiedrības daudzveidības pieņemšana;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iesakņošanās jeb piederība – ticība valsts institūcijām, taisnīguma izpratne un cieša saikne ar valsti;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izpratne par kopējo labumu – iedzīvotāju atbildības izjūta par līdzcilvēkiem un vēlme palīdzēt jeb solidaritāte, cieņa pret vispārīgiem sabiedrības noteikumiem un pilsoniskā/politiskā līdzdalība.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“Nevalstisko organizāciju sektors Latgalē. Cik liels? Cik spēcīgs? Cik gatavs krīzēm?” secināts, ka Krievijas uzsāktais pilna mēroga karš Ukrainā parāda, cik liela slodze uz sabiedrības drošību, civilo aizsardzību, kā arī humānās palīdzības sniegšanu ir vietējām pašvaldībām. Šī pieredze parāda, ka vietējām pašvaldībām ir vajadzīgas atbalsta rokas no vietējām kopienām. Pieredze parāda, ka darbs ar vietējo kopienu aktivizēšanu ilgtermiņā ir nozīmīgs ieguldījums, kas padara vietējās kopienas noturīgākas pret dažāda veida krīzēm. Krīžu gadījumā atbildīgo institūciju spējas, gatavība rīkoties ir izšķiroši svarīga, taču būtisks tās elements ir arī vietējās kopienas noturības 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arvien biežāk tiek lietots jēdziens “sabiedrības noturība”, ar to saprotot sabiedrības spējas pārvarēt dažāda veida krīzes. Visbiežāk sabiedrības noturības spēju novērtēšanai analizē tādus sabiedrībā notiekošus procesus kā sabiedrības saliedētība, solidaritāte, uzticēšanās līdzcilvēkiem un valsts un pašvaldību institūcijām, piederības sajūta kopienai un aktīva pilsoniskā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noturības risinājumiem identificējami vismaz pieci darbības līmeņi: ES un starptautiskais, nacionālais līmenis, pašvaldību līmenis, kopienu līmenis un indivīda/ģimenes līmenis. Pasākuma 4.3.4.9. ieviešana pamatā ir saistīta ar kopienu līmeni un tam pakārtoti arī ar indivīda/ģimenes līmeni. Kopienu līmenī tiks veidoti risinājumi preventīvām darbībām, kas saistītas ar sabiedrības integrācijas aspektiem, vienlaikus paredzot sagatavošanos koordinētai rīcībai krīzes situācijās, tostarp veidojot izglītojošu programmu, kas ietver konkrētu kopienas un indivīdu spēju, zināšanu un prasmju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spēju identificēt problēmu zonas un mazaizsargātus cilvēkus, kam nepieciešama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sadarbības prasmes ar pašvaldību, spēja mobilizēt resursus (finanšu, materiālos un cilvēku) un koordinācija ar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drošas informācijas un apziņošanas kanāli arī gadījumos, kad nav pieejami mobilie sakari;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pirmās palīdzības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psiholoģiskās palīdzības prasmes un stresa vadības iemaņas.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kopienu pilsoniskās sabiedrības noturības un pašorganizēšanās iniciatīvas, uzmanība tiks pievērsta praktiskām darbībām, kurās kopienas pārstāvji apzina resursus, iepazīstas un veido savstarpējus kontaktus, izprot vietējo infrastruktūru un iemācās koordinēt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pasākums tiks īstenots ierobežotas projektu iesniegumu atlases veidā, nosakot, ka projekta iesniedzējs ir atvasināta publisko tiesību juridiskā persona – Sabiedrības integrācijas fonds, kas veicina sabiedrības integrāciju atbilstoši Sabiedrības integrācijas fonda likumam, kas projektu īsteno kopā ar sadarbības partneriem – biedrību “Latvijas Pilsoniskā alianse”, biedrību “Zemgales NVO centrs”, biedrību “Dienvidlatgales NVO atbalsta centrs”, biedrību “Kurzemes NVO centrs” un nodibinājumu “Valmieras novada fonds”.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mērķa grupa ir kopienas aktīvie iedzīvotāji, neformālās iniciatīvu grupas, biedrības un nodibinājumi, reģionālie nevalstisko organizāciju atbalsta centri, mazaizsargātie vai sociālās atstumtības riskam pakļautie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ietvaros plānotais kopējais attiecināmais finansējums ir ne mazāk kā 4 350 000 </w:t>
      </w:r>
      <w:r w:rsidR="00000000" w:rsidRPr="00000000" w:rsidDel="00000000">
        <w:rPr>
          <w:i w:val="1"/>
          <w:rtl w:val="0"/>
        </w:rPr>
        <w:t xml:space="preserve">euro</w:t>
      </w:r>
      <w:r w:rsidR="00000000" w:rsidRPr="00000000" w:rsidDel="00000000">
        <w:rPr>
          <w:rtl w:val="0"/>
        </w:rPr>
        <w:t xml:space="preserve">, tai skaitā Eiropas Sociālā fonda Plus (turpmāk – ESF+) finansējums granta veidā ne vairāk kā – 3 697 500 </w:t>
      </w:r>
      <w:r w:rsidR="00000000" w:rsidRPr="00000000" w:rsidDel="00000000">
        <w:rPr>
          <w:i w:val="1"/>
          <w:rtl w:val="0"/>
        </w:rPr>
        <w:t xml:space="preserve">euro </w:t>
      </w:r>
      <w:r w:rsidR="00000000" w:rsidRPr="00000000" w:rsidDel="00000000">
        <w:rPr>
          <w:rtl w:val="0"/>
        </w:rPr>
        <w:t xml:space="preserve">un valsts budžeta līdzfinansējums – 652 500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ar sadarbības partneriem ir aprēķinājis finansējuma saņēmēja atbalstāmo darbību īstenošanai nepieciešamo kopējo attiecināmo finansējumu 744 845,59 </w:t>
      </w:r>
      <w:r w:rsidR="00000000" w:rsidRPr="00000000" w:rsidDel="00000000">
        <w:rPr>
          <w:i w:val="1"/>
          <w:rtl w:val="0"/>
        </w:rPr>
        <w:t xml:space="preserve">euro </w:t>
      </w:r>
      <w:r w:rsidR="00000000" w:rsidRPr="00000000" w:rsidDel="00000000">
        <w:rPr>
          <w:rtl w:val="0"/>
        </w:rPr>
        <w:t xml:space="preserve">apmērā un sadarbības partnera atbalstāmo darbību īstenošanai kopējo attiecināmo finansējumu  2 905 640,17 </w:t>
      </w:r>
      <w:r w:rsidR="00000000" w:rsidRPr="00000000" w:rsidDel="00000000">
        <w:rPr>
          <w:i w:val="1"/>
          <w:rtl w:val="0"/>
        </w:rPr>
        <w:t xml:space="preserve">euro </w:t>
      </w:r>
      <w:r w:rsidR="00000000" w:rsidRPr="00000000" w:rsidDel="00000000">
        <w:rPr>
          <w:rtl w:val="0"/>
        </w:rPr>
        <w:t xml:space="preserve">apmērā. Pamatojoties uz sadarbības partneru atbalstāmo darbību īstenošanai aprēķināto nepieciešamo finansējuma apmēru, paredzēts, ka tas tiks sadalīts vienādās daļās starp visiem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projektu iesniegumu atlasi var uzsākt un vienošanos par projekta īstenošanu var slēgt, ievērojot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86. pantā noteikto, ka elastības finansējuma apjoms ir 50% no dalībvalstij pieejamā Eiropas Savienības fondu finansējuma 2026. gadam un 2027. gadam, attiecīgi pasākumam pieejamais kopējais finansējums līdz 2025. gada 31. decembrim, lai slēgtu vienošanos par projektu īstenošanu, ir ne vairāk kā 3 663 679 </w:t>
      </w:r>
      <w:r w:rsidR="00000000" w:rsidRPr="00000000" w:rsidDel="00000000">
        <w:rPr>
          <w:i w:val="1"/>
          <w:rtl w:val="0"/>
        </w:rPr>
        <w:t xml:space="preserve">euro</w:t>
      </w:r>
      <w:r w:rsidR="00000000" w:rsidRPr="00000000" w:rsidDel="00000000">
        <w:rPr>
          <w:rtl w:val="0"/>
        </w:rPr>
        <w:t xml:space="preserve">, tai skaitā ESF+ finansējums granta veidā 3 114 127 </w:t>
      </w:r>
      <w:r w:rsidR="00000000" w:rsidRPr="00000000" w:rsidDel="00000000">
        <w:rPr>
          <w:i w:val="1"/>
          <w:rtl w:val="0"/>
        </w:rPr>
        <w:t xml:space="preserve">euro </w:t>
      </w:r>
      <w:r w:rsidR="00000000" w:rsidRPr="00000000" w:rsidDel="00000000">
        <w:rPr>
          <w:rtl w:val="0"/>
        </w:rPr>
        <w:t xml:space="preserve">un valsts budžeta līdzfinansējums 549 552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izmaksas ir attiecināmas no Projekta spēkā stāšanās dienas, lai nodrošinātu projekta īstenotājam iespēju savlaicīgi uzsākt 4.3.4.9. pasākuma ietvaros apstiprināmā projekta īstenošanu. Ja pirms projekta apstiprināšanas būs radušās izmaksas, kas nav attiecināmas, finansējuma saņēmējam tās ir jāsedz no sava budžeta, tomēr šāda iespējamība vērtējama ar zemu iestāšanās risku.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līdz vienošanās par projekta īstenošanu noslēgšanai ar Centrālo finanšu un līgumu aģentūru 4.3.4.9. pasākuma finansējuma saņēmējam Sabiedrības integrācijas fondam projekta īstenošanai nepieciešamo finansējumu 20 000 </w:t>
      </w:r>
      <w:r w:rsidR="00000000" w:rsidRPr="00000000" w:rsidDel="00000000">
        <w:rPr>
          <w:i w:val="1"/>
          <w:rtl w:val="0"/>
        </w:rPr>
        <w:t xml:space="preserve">euro </w:t>
      </w:r>
      <w:r w:rsidR="00000000" w:rsidRPr="00000000" w:rsidDel="00000000">
        <w:rPr>
          <w:rtl w:val="0"/>
        </w:rPr>
        <w:t xml:space="preserve">apmērā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ESF+ finansējums 3 697 500 </w:t>
      </w:r>
      <w:r w:rsidR="00000000" w:rsidRPr="00000000" w:rsidDel="00000000">
        <w:rPr>
          <w:i w:val="1"/>
          <w:rtl w:val="0"/>
        </w:rPr>
        <w:t xml:space="preserve">euro </w:t>
      </w:r>
      <w:r w:rsidR="00000000" w:rsidRPr="00000000" w:rsidDel="00000000">
        <w:rPr>
          <w:rtl w:val="0"/>
        </w:rPr>
        <w:t xml:space="preserve">apmērā atbilst intervences kodam 152 “Pasākumi, kas veicina vienlīdzīgas iespējas un aktīvu līdzdalību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ietvaros ir noteiktas šādas atbalstāmas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praktisku pilsoniskās sabiedrības iniciatīvu īstenošanas metodiskās programmas sagatavošana, aprobēšana un īstenošana vietējo kopienu noturības spēju stiprināšanai un pašorganizācijas, sadarbības un līdzdarbības prasmju attīstībai, kas balstīta vietējo kopienu zināšanu un prasmju apguves vajadzībās;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tīklu veidošana vietējo kopienu aktivizēšanai, saliedēšanai un noturības prasmju veicināšanai, tostarp sociālo tīklu grupu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kopienas iniciatīvu īstenošana ar mērķi veicināt vietējo kopienu aktivizēšanu, saliedēšanu un noturības prasmju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informatīvu pieredzes apmaiņas un saliedējošu pasākumu organizēšana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un pieredzes apmaiņas, tai skaitā ārvalstu pieredzes apmaiņas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pasākumu un iniciatīvu ietekmes analīze, kas ietver stratēģiskus ieteikumus turpmākajam iedzīvotāju iniciatīvu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finansējuma saņēmējs nodrošinās praktisku pilsoniskās sabiedrības iniciatīvu īstenošanas metodiskās programmas sagatavošanu, satura izstrādi un aprobēšanu, vietējo kopienu noturības prasmju veidošanai un pašorganizācijas, sadarbības un līdzdarbības prasmju attīstībai, kā ekspertus iesaistot visus sadarbības partnerus. Praktisku pilsoniskās sabiedrības iniciatīvu īstenošanas metodiskās programma tiek sagatavota, izzinot vietējo iedzīvotāju, kopienu un nevalstisko organizāciju nepieciešamo zināšanu un prasmju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pēc praktisku iniciatīvu zināšanu apguves programmas izstrādes un aprobēšanas nodrošinās tās īstenošanu vietējās kopienās, īstenojot iniciatīvas. Projekts nosaka, ka katrā pašvaldībā tiek iesaistītas vismaz piecas nevalstiskās organizācijas, vienlaikus nodrošinot, ka vismaz 30 procentu iniciatīvu īstenošanā tiek iesaistīti iedzīvotāji, nevalstiskās organizācijas un kopienas no administratīvām teritorijām ārpus pilsētām.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Kopienas iniciatīvas ietver darbības, kas balstītas konkrētas pašvaldības iedzīvotāju identificētās vajadzībās dažādu sabiedrības grupu savstarpējas  sadarbības veidošanai un pašorganizācijas spēju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iniciatīvu īstenošanu, pašvaldības, sadarbības partneri katrā reģionā izveido kopienas atbalsta tīklu, kas nodrošina iniciatīvu īstenošanai nepieciešamo finansējumu, kopdarbības vidi un metodisko atbalstu, kā arī saliedējošu pasākumu organizēšanu. Kopienas atbalsta tīkla darbības, tai skaitā sociālo tīklu grupu darbības nodrošināšanai sadarbības partneri katrā reģionā piesaista vismaz 12 partnerus (nevalstiskās organizācijas un/vai kopienas pārstāvjus), kas veido vienojošu saziņas mehānismu aktīvo iedzīvotāju sadarbības veicināšanai un iedibināto sadarbības tīklu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ietvaros līdz 2029. gada 31. decembrim ir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rādītājs: nacionāla, reģionāla vai vietēja mēroga valsts administrācijas vai sabiedrisko pakalpojumu iestāžu un pakalpojumu skaits, kas saņēmušas atbalstu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nevalstisko organizāciju un kopienas pārstāvju skaits, kam stiprinātas spējas veicināt sabiedrības noturību, – 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nodrošina dubultā finansējuma riska novēršanu un demarkāciju ar citiem līdzīgiem vai saistītiem projektiem un nodrošina, lai 4.3.4.9. pasākuma ietvaros plānotais atbalsts nepārklātos ar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10. oktobra noteikumu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 35. punktā noteiktajam, LEADER programma paredz ieguldījumus infrastruktūrā, pamatlīdzekļu iegādi un līdzīgas aktivitātes. Iedzīvotāju iniciatīvas un pašorganizēšanās spēju attīstība programmā netiek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pasākumam ir tieša ietekme uz horizontālo principu “Vienlīdzība, iekļaušana, nediskriminācija un pamattiesību ievērošana” un tā ietvaros ir plānotas specifiskas darbības horizontālā principa veicināšanai, nosakot pienākumu uzkrāt datus par projekta ietekmi uz šādiem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personu, kuras ir piedalījušās mācību programmās, kurās ir integrēti jautājumi par dzimumu līdztiesības, personu ar invaliditāti vienlīdzīgu iespēju, vecuma nediskriminācijas, etniskās un citiem piederības un pamattiesību jautājumiem,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konsultatīva rakstura pasākumu par dzimumu līdztiesības, personu ar invaliditāti vienlīdzīgu iespēju, vecuma nediskriminācijas, etniskās un citiem piederības un pamattiesību jautājumiem,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4.3.4.9. pasākuma ietvaros plānots attiecināt tiešās attiecināmās izmaksas un netiešās attiecināmās izmaksas. Projektā noteikts, ka 4.3.4.9. pasākuma ietvaros netiešās attiecināmās izmaksas plāno kā vienu izmaksu pozīciju, piemērojot netiešo izmaksu vienoto likmi 15% apmērā no projekta tiešajām attiecināmajām izmaksām saskaņā ar Regulas Nr. 2021/1060 54. panta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izstrādā vienas vienības izmaksu standarta likmes aprēķina un piemērošanas metodiku personāla izmaksām (turpmāk – personāla izmaksu metodika) un saskaņo to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tiks apstiprināta personāla izmaksu metodika, personāla izmaksas ir attiecināmas saskaņā ar Valsts un pašvaldību institūciju amatpersonu un darbinieku atlīdzības likumu, izņemot virsstundas. Ja personāla iesaiste projektā ir nodrošināta saskaņā ar daļlaika izmaksu attiecināmības principu, attiecināma ir ne mazāka kā 30% noslodze. Redzes korekcijas līdzekļu kompensācija finansējuma saņēmēja projekta vadības un īstenošanas personālam ir attiecināma, ja tā nav iekļauta veselības apdrošināšanas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personāla izmaksu metodikas apstiprināšanai ir attiecināmas finansējuma saņēmēja projekta vadības un īstenošanas personāla veselības apdrošināšanas izmaksas. Ja personāls ir nodarbināts normālu darba laiku, veselības apdrošināšanas izmaksas ir attiecināmas 100% apmērā. Ja personāls ir nodarbināts nepilnu darba laiku, veselības apdrošināšanas izmaksas nosakāmas atbilstoši nepilnā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personāla izmaksu metodikas apstiprināšanas, finansējuma saņēmēja projekta īstenošanas personāla un vadības personāla izmaksas tiek attiecinātas, piemērojot personāla izmaksu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Kultūras ministrija ir izvērtējusi nepieciešamību noteikt finansējuma saņēmējam pienākumu izstrādāt izmaksu un ieguvumu analīzi un, ņemot vērā to, ka 4.3.4.9. pasākuma mērķis ir attīstīt reģionālo nevalstisko organizāciju atbalsta centru potenciālu stiprināt pilsoniskās sabiedrības organizāciju efektīvu un ilgtspējīgu darbību sabiedrības noturības prasmju attīstībai un arī projekta iesniedzējs Sabiedrības integrācijas fonds savā darbībā ievēro visas sabiedrības integrācijas procesu pilnveidošanu, kas kā mērķis ir izvirzīts Sabiedrības integrācijas fonda likuma 3. panta pirmajā daļā, nosakot, ka Sabiedrības integrācijas fonda mērķis ir atbilstoši attīstības plānošanas dokumentiem finansiāli atbalstīt un veicināt sabiedrības integrāciju un Sabiedrības integrācijas fonds atbalsta arī publiskā un nevalstiskā sektora attīstības programmu un projektu īstenošanu secināms, ka 4.3.4.9. pasākuma mērķis ir sociāls, kam nav nepieciešams veikt izvērtējumu par izmaksu un ieguvumu analīzi un vērtēt izdevīgumu pamatojoties un finanšu un ekonomisko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projekta iesnieguma atlases ietvaros projekta iesniegums tiks vērtēts atbilstoši specifiskajam atbilstības vērtēšanas kritērijam “Projektā ir paredzētas darbības, kas veicina horizontālā principa ”Vienlīdzība, iekļaušana, nediskriminācija un pamattiesību ievērošana”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izmaksas horizontālā principa “Vienlīdzība, iekļaušana, nediskriminācija un pamattiesību ievērošana” darbību īstenošanas izmaksas saskaņā ar Labklājības ministrijas izstrādātajām vadlīnijām “Horizontālais princips “Vienlīdzība, iekļaušana, nediskriminācija un pamattiesību ievērošana” vadlīnijas īstenošanai un uzraudzībai (2021-2027)”, nodrošinot, ka projekta ietvaros  tiek paredzētas: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piecas vispārīgās darbības, kas attiecas uz projekta vadību un īstenošanu un kas kopumā veicina vienlīdzīgas iespējas un pamattiesību ievērošanu, kas  aptver trīs jomas: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un publicitāti;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vadību un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publiskos iepirkumus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trīs specifiskās darbības, kas īpaši veicina vienlīdzīgas iespējas, iekļaušanu, nediskrimināciju un pamattiesību ievērošanu, iekļaušanu.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paredzēti vismaz divi horizontālā principa “Vienlīdzība, iekļaušana, nediskriminācija un pamattiesību ievērošana”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kuras ir piedalījušās mācību programmās, kurās ir integrēti jautājumi par dzimumu līdztiesības, personu ar invaliditāti vienlīdzīgu iespēju, vecuma nediskriminācijas, etniskās un citiem piederības un pamattiesību jautājumiem,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pasākumu skaits par dzimumu līdztiesības, personu ar invaliditāti vienlīdzīgu iespēju, vecuma nediskriminācijas, etniskās un citiem piederības un pamattiesību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ir atbalstāma sociāli atbildīga un inovatīva iepirkuma īstenošana un vides prasību integrācija preču un pakalpojumu  iepirkumos (zaļais publiskais iepirkums).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Finansējuma saņēmējs un sadarbības partneris paraksta interešu konflikta neesības apliecinājumu. Lai nodrošinātu interešu konflikta riska neiestāšanos, finansējumā saņēmējs izstrādās kārtību, kur tiks aprakstīta interešu konflikta riska izvērtēšanas un uzraudzības kārtība un rīcība, ja tiek konstatēts interešu konflikts.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ietvaros netiek sniegts valsts atbalsts komercdarbībai, jo 4.3.4.9. pasākuma ietvaros plānotajām darbībām nav saimnieciska rakstura un netiek sniegtas priekšrocības, radot konkurences ierobežojumus. Projekta īstenotājs – Sabiedrības integrācijas fonds, kas veicina sabiedrības integrāciju atbilstoši Sabiedrības integrācijas fonda likumam, projekta ietvaros nodrošinās praktisku pilsoniskās sabiedrības iniciatīvu īstenošanas metodiskās programmas sagatavošanu, satura izstrādi un aprobēšanu, sadarbības un pieredzes apmaiņas pasākumu īstenošanu, projekta ietekmes analīzes sagatavošanu un informācijas par projekta īstenošanu sagatavošanu plašākai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sadarbības partneri – biedrība “Latvijas Pilsoniskā alianse”, biedrība “Zemgales NVO centrs”, biedrība “Dienvidlatgales NVO atbalsta centrs”, biedrība “Kurzemes NVO centrs” un nodibinājums “Valmieras novada fonds” tika izvēlētas par finansējuma saņēmēja sadarbības partneriem, balstoties ilgtermiņa sadarbības pieredzē ar Kultūras ministriju, kā arī organizāciju darbības un sasniegto rezultātu efektivitātes analīzē. Tā kā Kultūras ministrija katru gadu īsteno programmu “Reģionu NVO atbalsta programma”, organizāciju darbība ir vērtēta līdzvērtīgu uzdevumu veikšanā ilgtermiņā. Programmas “Reģionu NVO atbalsta programma” mērķis ir nodrošināt pastāvīgu atbalstu pilsoniskās sabiedrības attīstībai reģionos, stiprināt reģiona nevalstisko organizāciju kapacitāti, veicināt pilsoniskās sabiedrības attīstību un līdzdalību, kā arī veicināt mazākumtautību nevalstisko organizāciju attīstību un ilgtspēju. Ar šīm organizācijām, atbilstoši konkursa rezultātiem, katrā plānošanas reģionā ir noslēgti līdzdarbības līgumi “Par atsevišķu valsts pārvaldes uzdevumu veikšanu pilsoniskās sabiedrības un starpkultūru sadarbības un mazākumtautību nevalstisko organizāciju līdzdalības veicināšanas jomā”. Līdzšinējos konkursos visas minētās organizācijas ir ieguvušas tiesības īstenot valsts pārvaldes uzdevumus un ar savu darbību ilgtermiņā ir apliecinājušas spēju darboties efektīvi, lietderīgi un atbildīgi izmantot piešķirtos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Saliedētas un pilsoniski aktīvas sabiedrības attīstības plāna 2024.-2027. gadam projektā ir iekļauts 2.2.2. pasākums “Reģionu NVO atbalsta programma”, kuras ietvaros paredzēts katru gadu nodrošināt viena reģiona līmeņa NVO atbalsta centra kā pilsoniskās kompetences centra/inkubatora darbību katrā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reģionālie nevalstisko organizāciju atbalsta centri nodrošinās bezmaksas praktisku iniciatīvu zināšanu apguves programmas īstenošanu vietējām kopienām, vienlaikus nodrošinot bezmaksas metodisko atbalstu un saliedējošu pasākumu īstenošanu, kā arī nodrošinās reģiona nevalstiskajām organizācijām finansiālu atbalstu kopienu iniciatīvu īstenošanai. Projekta paredz, ka katrā pašvaldībā iniciatīvu īstenošanā jāpiesaista vismaz 5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4.3.4.9.pasākuma mērķa grupa kopienas aktīvie iedzīvotāji, neformālās iniciatīvu grupas, biedrības un nodibinājumi, reģionālie nevalstisko organizāciju atbalsta centri, mazaizsargātie vai sociālās atstumtības riskam pakļautie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ietvaros tiks stiprināta mērķa grupas kapacitāte sabiedrības noturības prasmju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kā par 4.3.4.9.pasākumu atbildīgā ministrija. Projekta iesnieguma iesniedzējs Sabiedrības integrācijas fonds un sadarbības partneri – biedrība “Latvijas Pilsoniskā alianse”, biedrība “Zemgales NVO centrs”, biedrība “Dienvidlatgales NVO atbalsta centrs”, biedrība “Kurzemes NVO centrs” un nodibinājums “Valmieras novada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pildīs finansējuma saņēmēja funkcijas un Kultūras ministrija pildīs atbildīgās iestādes funkcijas. Vērtējot Projekta īstenošanas ietekmi uz administratīvajām procedūrām, ir identificējams administratīvā sloga palielinājums potenciālajiem finansējuma saņēmējiem un Eiropas Savienības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622 825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622 825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732 735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732 735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732 735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-109 910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4.3.4.9. pasākumam kopējais attiecināmais finansējums, lai slēgtu vienošanos par projektu īstenošanu, ir 3 663 679 </w:t>
            </w:r>
            <w:r w:rsidR="00000000" w:rsidRPr="00000000" w:rsidDel="00000000">
              <w:rPr>
                <w:sz w:val="24"/>
                <w:i w:val="1"/>
                <w:rtl w:val="0"/>
              </w:rPr>
              <w:t xml:space="preserve">euro </w:t>
            </w:r>
            <w:r w:rsidR="00000000" w:rsidRPr="00000000" w:rsidDel="00000000">
              <w:rPr>
                <w:sz w:val="24"/>
                <w:rtl w:val="0"/>
              </w:rPr>
              <w:t xml:space="preserve">(ESF+ 3 114 127 </w:t>
            </w:r>
            <w:r w:rsidR="00000000" w:rsidRPr="00000000" w:rsidDel="00000000">
              <w:rPr>
                <w:sz w:val="24"/>
                <w:i w:val="1"/>
                <w:rtl w:val="0"/>
              </w:rPr>
              <w:t xml:space="preserve">euro </w:t>
            </w:r>
            <w:r w:rsidR="00000000" w:rsidRPr="00000000" w:rsidDel="00000000">
              <w:rPr>
                <w:sz w:val="24"/>
                <w:rtl w:val="0"/>
              </w:rPr>
              <w:t xml:space="preserve">un valsts budžeta līdzfinansējums 549 552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 kā atbildīgā iestāde no 2026. gada 1. janvāra pēc Eiropas Komisijas lēmuma par snieguma ietvara izpildi (Projekta 8.1. apakšpunktā minēto starpposma rādītāju sasniegšanas) var ierosināt palielināt specifiskajam atbalstam pieejamo kopējo attiecināmo finansējumu par noteikto elastības finansējuma summu: 686 321 </w:t>
            </w:r>
            <w:r w:rsidR="00000000" w:rsidRPr="00000000" w:rsidDel="00000000">
              <w:rPr>
                <w:sz w:val="24"/>
                <w:i w:val="1"/>
                <w:rtl w:val="0"/>
              </w:rPr>
              <w:t xml:space="preserve">euro </w:t>
            </w:r>
            <w:r w:rsidR="00000000" w:rsidRPr="00000000" w:rsidDel="00000000">
              <w:rPr>
                <w:sz w:val="24"/>
                <w:rtl w:val="0"/>
              </w:rPr>
              <w:t xml:space="preserve">(ESF+ 583 373 </w:t>
            </w:r>
            <w:r w:rsidR="00000000" w:rsidRPr="00000000" w:rsidDel="00000000">
              <w:rPr>
                <w:sz w:val="24"/>
                <w:i w:val="1"/>
                <w:rtl w:val="0"/>
              </w:rPr>
              <w:t xml:space="preserve">euro</w:t>
            </w:r>
            <w:r w:rsidR="00000000" w:rsidRPr="00000000" w:rsidDel="00000000">
              <w:rPr>
                <w:sz w:val="24"/>
                <w:rtl w:val="0"/>
              </w:rPr>
              <w:t xml:space="preserve"> un valsts budžeta līdzfinansējums 102 948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elastības finansējuma saņemšanas (686 321 </w:t>
            </w:r>
            <w:r w:rsidR="00000000" w:rsidRPr="00000000" w:rsidDel="00000000">
              <w:rPr>
                <w:sz w:val="24"/>
                <w:i w:val="1"/>
                <w:rtl w:val="0"/>
              </w:rPr>
              <w:t xml:space="preserve">euro</w:t>
            </w:r>
            <w:r w:rsidR="00000000" w:rsidRPr="00000000" w:rsidDel="00000000">
              <w:rPr>
                <w:sz w:val="24"/>
                <w:rtl w:val="0"/>
              </w:rPr>
              <w:t xml:space="preserve">) specifiskā atbalsta kopējais attiecināmais finansējums būs 4 350 000 </w:t>
            </w:r>
            <w:r w:rsidR="00000000" w:rsidRPr="00000000" w:rsidDel="00000000">
              <w:rPr>
                <w:sz w:val="24"/>
                <w:i w:val="1"/>
                <w:rtl w:val="0"/>
              </w:rPr>
              <w:t xml:space="preserve">euro </w:t>
            </w:r>
            <w:r w:rsidR="00000000" w:rsidRPr="00000000" w:rsidDel="00000000">
              <w:rPr>
                <w:sz w:val="24"/>
                <w:rtl w:val="0"/>
              </w:rPr>
              <w:t xml:space="preserve">(ESF+ finansējums 3 697 500 </w:t>
            </w:r>
            <w:r w:rsidR="00000000" w:rsidRPr="00000000" w:rsidDel="00000000">
              <w:rPr>
                <w:sz w:val="24"/>
                <w:i w:val="1"/>
                <w:rtl w:val="0"/>
              </w:rPr>
              <w:t xml:space="preserve">euro </w:t>
            </w:r>
            <w:r w:rsidR="00000000" w:rsidRPr="00000000" w:rsidDel="00000000">
              <w:rPr>
                <w:sz w:val="24"/>
                <w:rtl w:val="0"/>
              </w:rPr>
              <w:t xml:space="preserve">un valsts budžeta līdzfinansējums 652 500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apmērā no projektu attiecināmām izmaksām un valsts budžeta līdzfinansējuma daļa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šāds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732 735 </w:t>
            </w:r>
            <w:r w:rsidR="00000000" w:rsidRPr="00000000" w:rsidDel="00000000">
              <w:rPr>
                <w:sz w:val="24"/>
                <w:i w:val="1"/>
                <w:rtl w:val="0"/>
              </w:rPr>
              <w:t xml:space="preserve">euro</w:t>
            </w:r>
            <w:r w:rsidR="00000000" w:rsidRPr="00000000" w:rsidDel="00000000">
              <w:rPr>
                <w:sz w:val="24"/>
                <w:rtl w:val="0"/>
              </w:rPr>
              <w:t xml:space="preserve">; (ESF+ 622 825 </w:t>
            </w:r>
            <w:r w:rsidR="00000000" w:rsidRPr="00000000" w:rsidDel="00000000">
              <w:rPr>
                <w:sz w:val="24"/>
                <w:i w:val="1"/>
                <w:rtl w:val="0"/>
              </w:rPr>
              <w:t xml:space="preserve">euro</w:t>
            </w:r>
            <w:r w:rsidR="00000000" w:rsidRPr="00000000" w:rsidDel="00000000">
              <w:rPr>
                <w:sz w:val="24"/>
                <w:rtl w:val="0"/>
              </w:rPr>
              <w:t xml:space="preserve">; valsts budžeta līdzfinansējums 109 910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732 735 </w:t>
            </w:r>
            <w:r w:rsidR="00000000" w:rsidRPr="00000000" w:rsidDel="00000000">
              <w:rPr>
                <w:sz w:val="24"/>
                <w:i w:val="1"/>
                <w:rtl w:val="0"/>
              </w:rPr>
              <w:t xml:space="preserve">euro</w:t>
            </w:r>
            <w:r w:rsidR="00000000" w:rsidRPr="00000000" w:rsidDel="00000000">
              <w:rPr>
                <w:sz w:val="24"/>
                <w:rtl w:val="0"/>
              </w:rPr>
              <w:t xml:space="preserve">; (ESF+ 622 825 </w:t>
            </w:r>
            <w:r w:rsidR="00000000" w:rsidRPr="00000000" w:rsidDel="00000000">
              <w:rPr>
                <w:sz w:val="24"/>
                <w:i w:val="1"/>
                <w:rtl w:val="0"/>
              </w:rPr>
              <w:t xml:space="preserve">euro</w:t>
            </w:r>
            <w:r w:rsidR="00000000" w:rsidRPr="00000000" w:rsidDel="00000000">
              <w:rPr>
                <w:sz w:val="24"/>
                <w:rtl w:val="0"/>
              </w:rPr>
              <w:t xml:space="preserve">; valsts budžeta līdzfinansējums 109 910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732 735 </w:t>
            </w:r>
            <w:r w:rsidR="00000000" w:rsidRPr="00000000" w:rsidDel="00000000">
              <w:rPr>
                <w:sz w:val="24"/>
                <w:i w:val="1"/>
                <w:rtl w:val="0"/>
              </w:rPr>
              <w:t xml:space="preserve">euro</w:t>
            </w:r>
            <w:r w:rsidR="00000000" w:rsidRPr="00000000" w:rsidDel="00000000">
              <w:rPr>
                <w:sz w:val="24"/>
                <w:rtl w:val="0"/>
              </w:rPr>
              <w:t xml:space="preserve">; (ESF+ 622 825 </w:t>
            </w:r>
            <w:r w:rsidR="00000000" w:rsidRPr="00000000" w:rsidDel="00000000">
              <w:rPr>
                <w:sz w:val="24"/>
                <w:i w:val="1"/>
                <w:rtl w:val="0"/>
              </w:rPr>
              <w:t xml:space="preserve">euro</w:t>
            </w:r>
            <w:r w:rsidR="00000000" w:rsidRPr="00000000" w:rsidDel="00000000">
              <w:rPr>
                <w:sz w:val="24"/>
                <w:rtl w:val="0"/>
              </w:rPr>
              <w:t xml:space="preserve">; valsts budžeta līdzfinansējums 109 910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732 735 </w:t>
            </w:r>
            <w:r w:rsidR="00000000" w:rsidRPr="00000000" w:rsidDel="00000000">
              <w:rPr>
                <w:sz w:val="24"/>
                <w:i w:val="1"/>
                <w:rtl w:val="0"/>
              </w:rPr>
              <w:t xml:space="preserve">euro</w:t>
            </w:r>
            <w:r w:rsidR="00000000" w:rsidRPr="00000000" w:rsidDel="00000000">
              <w:rPr>
                <w:sz w:val="24"/>
                <w:rtl w:val="0"/>
              </w:rPr>
              <w:t xml:space="preserve">; (ESF+ 622 825 </w:t>
            </w:r>
            <w:r w:rsidR="00000000" w:rsidRPr="00000000" w:rsidDel="00000000">
              <w:rPr>
                <w:sz w:val="24"/>
                <w:i w:val="1"/>
                <w:rtl w:val="0"/>
              </w:rPr>
              <w:t xml:space="preserve">euro</w:t>
            </w:r>
            <w:r w:rsidR="00000000" w:rsidRPr="00000000" w:rsidDel="00000000">
              <w:rPr>
                <w:sz w:val="24"/>
                <w:rtl w:val="0"/>
              </w:rPr>
              <w:t xml:space="preserve">; valsts budžeta līdzfinansējums 109 910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732 735 </w:t>
            </w:r>
            <w:r w:rsidR="00000000" w:rsidRPr="00000000" w:rsidDel="00000000">
              <w:rPr>
                <w:sz w:val="24"/>
                <w:i w:val="1"/>
                <w:rtl w:val="0"/>
              </w:rPr>
              <w:t xml:space="preserve">euro </w:t>
            </w:r>
            <w:r w:rsidR="00000000" w:rsidRPr="00000000" w:rsidDel="00000000">
              <w:rPr>
                <w:sz w:val="24"/>
                <w:rtl w:val="0"/>
              </w:rPr>
              <w:t xml:space="preserve">(bez elastības finansējuma: 686 321 </w:t>
            </w:r>
            <w:r w:rsidR="00000000" w:rsidRPr="00000000" w:rsidDel="00000000">
              <w:rPr>
                <w:sz w:val="24"/>
                <w:i w:val="1"/>
                <w:rtl w:val="0"/>
              </w:rPr>
              <w:t xml:space="preserve">euro</w:t>
            </w:r>
            <w:r w:rsidR="00000000" w:rsidRPr="00000000" w:rsidDel="00000000">
              <w:rPr>
                <w:sz w:val="24"/>
                <w:rtl w:val="0"/>
              </w:rPr>
              <w:t xml:space="preserve">) (ESF+ 622 827 </w:t>
            </w:r>
            <w:r w:rsidR="00000000" w:rsidRPr="00000000" w:rsidDel="00000000">
              <w:rPr>
                <w:sz w:val="24"/>
                <w:i w:val="1"/>
                <w:rtl w:val="0"/>
              </w:rPr>
              <w:t xml:space="preserve">euro</w:t>
            </w:r>
            <w:r w:rsidR="00000000" w:rsidRPr="00000000" w:rsidDel="00000000">
              <w:rPr>
                <w:sz w:val="24"/>
                <w:rtl w:val="0"/>
              </w:rPr>
              <w:t xml:space="preserve">; valsts budžeta līdzfinansējums 109 912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panta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biedrība “Zemgales NVO centrs”, biedrība “Dienvidlatgales NVO atbalsta centrs”, biedrība “Kurzemes NVO centrs” un nodibinājums “Valmieras novada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“Zemgales NVO centrs”, Biedrība “Dienvidlatgales NVO atbalsta centrs”, Biedrība “Kurzemes NVO centrs”, Nodibinājums “Valmieras novada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(apstiprināts Saeimas 2020. gada 2. jūlija sēdē) prioritātes “Vienota, droša un atvērta sabiedrība” rīcības virziena “Saliedētība” 399. progresa rādītājs “Lepnums par piederību Latvijai (ļoti tuvs, tuvs)”, 400. progresa rādītājs “Iedzīvotāju savstarpējais atbalsts”, 401. progresa rādītājs “Iesaistīšanās sabiedriskajās organizācijās, respondenti, kuri atbild “nekur””, 402. progresa rādītājs “Iedzīvotāju pilsoniskā uzticēšanās – nevalstiskajām organizācijām/arodbiedrībām (pilnībā uzticas vai drīzāk uzticas)” un virziena “Tiesiskums un pārvaldība” 416. progresa rādītājs “Apmierinātība ar to, kā darbojas demokrātija (pilnīgi apmierināts, drīzāk apmierināts)”, 417. progresa rādītājs “Iedzīvotāju pilsoniskās līdzdalības indekss” un 418. progresa rādītājs “Iedzīvotāju uztvere par iespēju ietekmēt rīcībpolitiku”.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projekta īstenošanā, ņemot vērā konkrēto darbību specifiku, tiks izvērtēta iespēja iekļaut darbības, kas veicina horizontālā principa ”Vienlīdzība, iekļaušana, nediskriminācija un pamattiesību ievērošana” ievērošanu,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tīmekļa vietnē tiks norādīta informācija par projekta darbību īstenošanas vietas piekļūstamību cilvēkiem ar invaliditāti un funkcionāliem traucējumiem, vecākiem ar maziem bērniem un senioriem;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rīkošanai iepirkuma nolikumā tiks paredzēta prasība par telpu un satura piekļūstamību, ēdināšanas pakalpojuma nodrošināšanai tiks piesaistīts sociālais uzņēmums, kurš nodarbina cilvēkus ar invaliditāti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informatīvo materiālu saturs tiks veidots, ievērojot dzimumu līdztiesības un nediskriminācijas principus, īpašu uzmanību veltot sabiedrībā valdošo stereotipu par dzimumu lomu sadalījumu, vecumu, invaliditāti, etnisko piederību u.c. pazīmēm izskaušanai un nepieļaujot stereotipiskus attēlojumus informatīvajos materiālos;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tiks izstrādāta un pasniegta piekļūstamos formātos (t.sk. audiāli un elektroniski), piemēram, ar burtu palielinājuma iespēju personām ar invaliditāti un senioriem.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projekta īstenošanā, ņemot vērā konkrēto darbību specifiku, tiks izvērtēta iespēja iekļaut darbības, kas veicina horizontālā principa ”Vienlīdzība, iekļaušana, nediskriminācija un pamattiesību ievērošana”, tai skaitā  dzimumu līdztiesību veicināšanai,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(skat. metodisko materiālu “Ieteikumi diskrimināciju un stereotipus mazinošai komunikācijai ar sabiedrību”, https://www.lm.gov.lv/lv/media/18838/download?attachment);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bērnu uzraudzības pakalpojums mērķa grupai, saņemot sociālā darbinieka vai sociālā mentora pakalpojumu, kas dos vienlīdzīgas iespējas piedalīties mācībās vecākiem, kuri aprūpē mazus bērnus;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un ekspertu vienlīdzīgu iespēju jautājumos  konsultācijas/iesaiste, projekta īstenošanas personāla apmācībām darbam ar mērķa grupu, lai nodrošinātu mērķa grupas interesēs un vajadzībās balstītu pieeju atbalsta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jeb 4.3.4.9. pasākuma mērķa grupas personu, kas tiks iesaistītas pasākuma ietvaros, datu apstrāde tiks veikta atbilstoši Eiropas Parlamenta un Padomes 2016. gada 27. aprīļa Regulas 2016/679 par fizisku personu aizsardzību attiecībā uz personas datu apstrādi un šādu datu brīvu apriti un ar ko atceļ Direktīvu 95/46/EK (Vispārīgā datu aizsardzības regula) un Fizisko personu datu apstrādes likuma prasībām. Atbilstoši minētās regulas un Fizisko personu datu apstrādes likuma prasībām tiks ievēroti personas datu apstrādes principi un datu apstrādes likumīgums. Uzkrātie dati par projekta dalībniekiem tiks iesniegti Eiropas Komisijā.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pasākumam ir tieša ietekme uz horizontālo principu “Vienlīdzība, iekļaušana, nediskriminācija un pamattiesību ievērošana”. 4.3.4.9. pasākuma ietvaros atbalsts ir plānots Latvijas nevalstiskajām organizācijām, lai nodrošinātu to efektīvu un ilgtspējīgu darbību, izmantojot un attīstot reģionālo nevalstisko organizāciju atbalsta centru potenciālu, ar mērķi attīstīt aktīvas un iekļaujošas līdzdalības tradīcijas, it īpaši vēršot uzmanību tādu risinājumu attīstībai, kas veicina mazaizsargātu vai sociālās atstumtības riskam pakļautu iedzīvotāju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“Klimatdrošināšana”, “Energoefektivitāte pirmajā vietā” un “Nenodarīt būtisku kaitējumu”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4.3.4.9. pasākuma ietvaros informatīvo materiālu saturs tiks veidots, ievērojot dzimumu līdztiesības un nediskriminācijas principus, īpašu uzmanību veltot sabiedrībā valdošo stereotipu par dzimumu lomu sadalījumu, vecumu, invaliditāti, etnisko piederību u.c. pazīmēm izskaušanai un nepieļaujot stereotipiskus attēlojumus informatīvajos materiālos, līdz ar to kopumā 4.3.4.9. pasākums sniegs ieguldījumu dzimumu līdztiesības principa kā Eiropas Savienības stratēģijā Baltijas jūras reģionam (ESSBJR) caurvijoša principa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Investīcijām piemērojams Makroreģionālā un jūras baseinu stratēģijas kods 03 – Baltijas jūras reģiona stratēģija.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24-TA-1536</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24-TA-1536</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anotācija_(ex_ante)_24-TA-1536.docx</dc:title>
</cp:coreProperties>
</file>

<file path=docProps/custom.xml><?xml version="1.0" encoding="utf-8"?>
<Properties xmlns="http://schemas.openxmlformats.org/officeDocument/2006/custom-properties" xmlns:vt="http://schemas.openxmlformats.org/officeDocument/2006/docPropsVTypes"/>
</file>