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Kiberdrošības kompetenču centra 2021.—2027. gada plānošanas perioda grantu programmas "Mazo un vidējo saimnieciskās darbības veicēju kiberdrošības transformācija"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Kiberdrošības kompetenču centra 2021.—2027. gada plānošanas perioda grantu programmas "Mazo un vidējo saimnieciskās darbības veicēju kiberdrošības transformācija" īstenošanas noteikumi" (turpmāk – Noteikumu projekts) izstrādāti saskaņā ar Eiropas Kiberdrošības kompetenču centra 2021.—2027. gada plānošanas perioda grantu vadības likuma (turpmāk – Grantu vadības likums) 9. panta 3., 4. un 8.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mērķis ir nodrošināt efektīvu projektu iesniegumu atlasi un īstenošanu Eiropas Kiberdrošības kompetenču centra 2021.—2027. gada plānošanas perioda grantu programmas "Mazo un vidējo saimnieciskās darbības veicēju kiberdrošības transformācija" ietvaros.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2021. gada 28. jūnijā stājās spēkā Eiropas Parlamenta un Padomes 2021. gada 20. maija Regula (ES) 2021/887, ar ko izveido Eiropas Industriālo, tehnoloģisko un pētniecisko kiberdrošības kompetenču centru un Nacionālo koordinācijas centru tīklu (turpmāk – Regula 2021/887), ar kuru tika izveidots Eiropas Kiberdrošības kompetenču centrs (turpmāk – ECCC), kā arī dalībvalstīm tika uzdots izveidot Nacionālos koordinācijas centrus. Paredzēts, ka ECCC ar dalībvalstu Nacionālo koordinācijas centru starpniecību nodrošinās Eiropas Savienības programmas "Digitālā Eiropa" (turpmāk - DEP) konkrētā mērķa Nr. 3 "Kiberdrošība un uzticamība", programmas "Apvārsnis Eiropa" II pīlāra "Globālie izaicinājumi un Eiropas industriālā konkurētspēja" 3. klastera "Digitalizācija, industrija un kosmoss" kiberdrošības sadaļas un citu ECCC netiešajā pārvaldībā esošo ar kiberdrošību saistīto Eiropas Savienības grantu (t.s. kaskādes granti) ieviešanu. Ņemot vērā to, ka Latvijā nebija izveidota ECCC netiešajā pārvaldībā esošo grantu vadības sistēma, tika izstrādāts likums.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18. oktobrī stājās spēkā Grantu vadības likums, kura mērķis ir nodrošināt efektīvu, pārskatāmu un pareizas finanšu pārvaldības principiem atbilstošu grantu ieviešanu ECCC atbalsta jomā Latvijā. Grantu vadības likums nosaka grantu vadībā iesaistīto institūciju, projekta iesnieguma iesniedzēja un finansējuma saņēmēja tiesības un pienākumus, grantu vadībā iesaistīto institūciju lēmumu pieņemšanas, apstrīdēšanas un pārsūdzēšanas kārtību, kā arī nosacījumus finansējuma piešķiršanai. Vienlaikus, Grantu vadības likuma 9. pants nosaka Ministru kabineta (turpmāk - MK) kompetenci ECCC 2021.-2027. gada plānošanas perioda grantu vadības nodrošināšanā. Šī kompetence izklāstīta MK noteikumos "Eiropas Kiberdrošības kompetenču centra 2021.–2027. gada plānošanas perioda grantu projektu ieviešanas, vadības, uzraudzības un kontroles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2025. gada 31. jūlijam DEP ietvaros paredzēts atbalstīt Latvijā reģistrētos mazos un vidējos saimnieciskās darbības veicējus, līdzfinansējot to kiberdrošības transformācijas projektus, kuriem paredzēta atklāta projektu iesniegumu atlase. Projektu atlase un ieviešana jānodrošina saskaņā ar Grantu vadības likumu un MK noteikumiem "Eiropas Kiberdrošības kompetenču centra 2021.–2027. gada plānošanas perioda grantu projektu ieviešanas, vadības, uzraudzības un kontroles noteikumi". Šis noteikumu projekts apstiprināšanai MK tiek virzīts vienlaikus ar MK noteikumu projektu "Eiropas Kiberdrošības kompetenču centra 2021.–2027. gada plānošanas perioda grantu projektu ieviešanas, vadības, uzraudzības un kontroles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Šis Noteikumu projekts papildina MK noteikumos "Eiropas Kiberdrošības kompetenču centra 2021.–2027. gada plānošanas perioda grantu projektu ieviešanas, vadības, uzraudzības un kontroles noteikumi" noteikto, lai sekmētu efektīvu, pārskatāmu un pareizas finanšu pārvaldības principiem atbilstošu ECCC 2021.–2027. gada plānošanas perioda grantu ieviešanu Latvijā.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noteikumi "Eiropas Kiberdrošības kompetenču centra 2021.–2027. gada plānošanas perioda grantu projektu ieviešanas, vadības, uzraudzības un kontroles noteikumi" nosaka principus visām grantu programmām, izņemot principus, kas jānosaka katrai grantu programmai atsevišķi (Grantu vadības likuma 9. panta 3. (projektu finansēšanas nosacījumi), 4. un 8. punkts). Noteikumu projekts attiecas uz grantu programmas "Mazo un vidējo saimnieciskās darbības veicēju kiberdrošības transformācija" (turpmāk - grantu programma) ieviešanu, kas paredzēta līdz 2025. gada 31. jūlijam DEP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Programma, tās mērķi un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noteiktais programmas mērķis ir atbalstīt Latvijā reģistrētos mazos un vidējos saimnieciskās darbības veicējus, līdzfinansējot kiberdrošības transformācijas projektus. Programmas ietvaros plānots veicināt mazo un vidējo saimnieciskās darbības veicēju kiberdrošības pārveidi, kā arī sniegt atbalstu kibernoturības stiprināšanā, tādējādi veicinot Latvijas un Eiropas Savienības ilgtermiņa kiberdrošības mērķu sasniegšanu. Programmas ietvaros tiks atbalstīta inovatīvu kiberdrošības transformācijas tehnoloģiju un koncepciju izstrāde, kuras ietvaros tiktu veikta arī šo koncepciju un tehnoloģiju testēšana, pilotēšana un publicēšana. Tiks atbalstīta arī pētījumu izstrāde un citas darbības pētniecības jomā, kā arī kibernoturības koncepciju izstrāde, pārbaude, demonstrēšana un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noteikumu kontekstā inovatīvi risinājumi ir gan jaunu koncepciju un tehnoloģiju izpēte, izstrāde, testēšana un publicēšana (pētnieciskas ievirzes projekti), gan esošu risinājumu ieviešana un kapacitātes stiprināšana (kiberdrošības/digitālās transformācijas projekti), ja esošo risinājumu ieviešanas un kapacitātes stiprināšanas pasākumi kopumā uzlabo projekta iesniedzēja kiberdrošību (piemēram, konkrētajā organizācijā ieviesta jauna tehnoloģija vai metode, kas uzlabo klientu datu drošību, piegādes ķēžu drošību u.tml.), aizvietojot iepriekšējo risinājumu vai ieviešot risinājumu tā neesamības gadījumā.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Projektu finansēšanas vispārīgie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Noteikumos noteikti projektu finansēšanas vispārējie noteikumi, noteikts, ka grantu līdzfinansējuma apmērs nepārsniedz 60 000 euro un 50% no projekta tiešajām attiecināmajām izmaksām. Viena projekta tiešās attiecināmās izmaksas no granta līdzfinansējuma nav mazākas par 20 000 euro. Attiecināmo izmaksu daļu, kuru nesedz no grantu līdzfinansējuma līdzekļiem, kā arī neattiecināmās izmaksas projekta iesniedzējs sedz no saviem līdzekļiem, ievērojot, ka darbības netiek finansētas no valsts, pašvaldības vai ārvalstu finanšu atbalsta instrumentiem vai citiem publiskiem līdzekļiem. Iesniedzot projekta iesniegumu, projekta iesnieguma iesniedzējs ievēro, ka ir tiesīgs iesniegt ne vairāk kā trīs projektu iesniegumus. Neatkarīgi no apstiprināto projektu iesniegumu skaita, grantu līdzfinansējums vienam finansējuma saņēmējam nepārsniedz 60 000 euro. Projekta iesniedzējs ir Latvijas Republikā reģistrēts mazais vai vidējais saimnieciskās darbības veicējs, kurš neatbilst izslēgšanas kritērijiem, kuri noteikti Ministru kabineta noteikumos "Eiropas Kiberdrošības kompetenču centra 2021.-2027. gada plānošanas perioda grantu projektu ieviešanas, vadības, uzraudzības un kontroles noteikumi".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Projektu attiecināmās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ietvaros tiek plānotas attiecināmās izmaksas. Tiešās attiecināmās izmaksas veido projekta vadības un īstenošanas personāla atlīdzības izmaksas (tajā skaitā arī ar to saistītie nodokļi), kā arī projekta ieviešanas dokumentācijas izmaksas, piemēram, biznesa procesu un biznesa prasību specifikāciju izstrādes izmaksas, informācijas sistēmas izstrādes vai iegādes iepirkuma tehniskās specifikācijas izstrādes izmaksas, kā arī tehniskās infrastruktūras un ražotāja sērijveida programmatūras iegādes tehniskās specifikācijas izstrādes izmaksas (ja attiecināms), informācijas sistēmu iegādes, izstrādes un testēšanas izmaksas, tehniskās infrastruktūras un  attiecīgās programmatūras iegādes izmaksas, informācijas sistēmas iegādes vai izstrādes un ieviešanas veikšanas izmaksas, apmācību ieviešanas un pārvaldības izmaksas, lietotāju vajadzību analīzes izmaksas, pētījumu izmaksas, kā arī publicitātes un informatīvo pasākumu izmaksas. Izmaksas ir attiecināmas, ja tās ir radušās pēc šo noteikumu spēkā stāšanās un ne vēlāk kā 20 darbdienas pēc projekta īstenošanas beigām, ja izdevumus pamatojošajos dokumentos ir norādīta atsauce uz projektu. Gadījumā, ja projekta īstenošanas laikā pieaug tā īstenošanas izmaksas, starpību finansējuma saņēmēja sedz no saviem līdzekļiem. Finansējuma saņēmējs, veicot grāmatvedības uzskaiti, nodala projekta ietvaros veiktās darbības no citas saimnieciskās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Prasības projekta iesnieguma iesniedzējam un projekta iesniegumam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noteiktas prasības projekta iesnieguma iesniedzējam, kā arī projekta iesniegumam. Lai būtu iespējams izvērtēt, kuri projektu iesniegumi tiks apstiprināti, notiek to vērtēšana. Projekta iesniegumu vērtēšana notiek piemērojot noteiktos kritērijus un tādējādi nosakot projekta iesnieguma iegūto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saistības ECCC kaskādes grantu administrēšanā, Nacionālais koordinācijas centrs sadarbībā ar Centrālo finanšu un līgumu aģentūru izstrādās projektu iesniegumu vērtēšanas kritērijus un to piemērošanas metodiku.  Saskaņā ar plānotās grantu programmas "Mazo un vidējo saimnieciskās darbības veicēju kiberdrošības transformācija" finansēšanas noteikumiem, ko nosaka DEP projekts Latvijas Nacionālā koordinācijas centra atbalstam, projektu iesniegumiem jābūt saskaņā ar DEP mērķiem un nacionālajiem kiberdrošības politikas plānošanas dokumentiem. Līdz ar to vērtēšanas kritērijos tiks iekļautas projekta satura un rezultāta vērtēšanas kategorijas: saturiskā atbilstība kiberdrošības transformācijas projektam un inovatīvu kiberdrošības risinājumu pieejamības veicināšanai vai izplatīšanai, kā arī projekta rezultātu atbilstība Latvijas Kiberdrošības stratēģijas 2023.-2026. gadam mērķiem un uzdevumiem.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De minimis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noteiks, ka grantu līdzfinansējumu piešķir kā</w:t>
      </w:r>
      <w:r w:rsidR="00000000" w:rsidRPr="00000000" w:rsidDel="00000000">
        <w:rPr>
          <w:i w:val="1"/>
          <w:rtl w:val="0"/>
        </w:rPr>
        <w:t xml:space="preserve"> de minimis </w:t>
      </w:r>
      <w:r w:rsidR="00000000" w:rsidRPr="00000000" w:rsidDel="00000000">
        <w:rPr>
          <w:rtl w:val="0"/>
        </w:rPr>
        <w:t xml:space="preserve">atbalstu. </w:t>
      </w:r>
      <w:r w:rsidR="00000000" w:rsidRPr="00000000" w:rsidDel="00000000">
        <w:rPr>
          <w:i w:val="1"/>
          <w:rtl w:val="0"/>
        </w:rPr>
        <w:t xml:space="preserve">De minimis </w:t>
      </w:r>
      <w:r w:rsidR="00000000" w:rsidRPr="00000000" w:rsidDel="00000000">
        <w:rPr>
          <w:rtl w:val="0"/>
        </w:rPr>
        <w:t xml:space="preserve">nosacījumi noteikti Komisijas 2023. gada 13. decembra regulā Nr. 2023/2831 par Līguma par Eiropas Savienības darbību 107. un 108. panta piemērošanu de minimis atbalstam (turpmāk –Regula Nr. 2023/2831) nosacījumiem un Ministru kabineta noteikumos  par </w:t>
      </w:r>
      <w:r w:rsidR="00000000" w:rsidRPr="00000000" w:rsidDel="00000000">
        <w:rPr>
          <w:i w:val="1"/>
          <w:rtl w:val="0"/>
        </w:rPr>
        <w:t xml:space="preserve">de minimis </w:t>
      </w:r>
      <w:r w:rsidR="00000000" w:rsidRPr="00000000" w:rsidDel="00000000">
        <w:rPr>
          <w:rtl w:val="0"/>
        </w:rPr>
        <w:t xml:space="preserve">atbalsta uzskaites un piešķiršanas kārtību un </w:t>
      </w:r>
      <w:r w:rsidR="00000000" w:rsidRPr="00000000" w:rsidDel="00000000">
        <w:rPr>
          <w:i w:val="1"/>
          <w:rtl w:val="0"/>
        </w:rPr>
        <w:t xml:space="preserve">de minimis </w:t>
      </w:r>
      <w:r w:rsidR="00000000" w:rsidRPr="00000000" w:rsidDel="00000000">
        <w:rPr>
          <w:rtl w:val="0"/>
        </w:rPr>
        <w:t xml:space="preserve">atbalsta uzskaites veidlapu paraugiem. Noteikts, katrīs gadu periodā viena vienota uzņēmuma līmenī saņemtais </w:t>
      </w:r>
      <w:r w:rsidR="00000000" w:rsidRPr="00000000" w:rsidDel="00000000">
        <w:rPr>
          <w:i w:val="1"/>
          <w:rtl w:val="0"/>
        </w:rPr>
        <w:t xml:space="preserve">de minimis</w:t>
      </w:r>
      <w:r w:rsidR="00000000" w:rsidRPr="00000000" w:rsidDel="00000000">
        <w:rPr>
          <w:rtl w:val="0"/>
        </w:rPr>
        <w:t xml:space="preserve"> atbalsts nedrīkst pārsniegt 300 000 euro. Viena vienota uzņēmuma kritēriji noteikti Regulas Nr. 2023/2831 2. panta 2. punktā. Atbalstu nepiešķir uzņēmumiem, kas darbojas Regulas Nr. 2023/2831 1. panta 1. punktā noteiktajās nozarēs vai veic tajā noteiktās darbības. Gadījumos, kad uzņēmums darbojas vairākās nozarēs un kāda no tām ir minēta Regulas Nr. 2023/2831 1. panta 1. punktā, finansējuma saņēmējs nodrošina šo nozaru un darbību nošķiršanu. Minētais atbalsts par piešķirtu tiek uzskatīts ar dienu, kad pieņemts aģentūras lēmums par projekta iesnieguma apstiprināšanu vai atzinuma par nosacījumu izpildi pieņemšanas brīdi, ja ir bijis pieņemts lēmums par projekta iesnieguma apstiprināšanu ar nosacījumus. Aģentūra nodrošina piešķirtā atbalsta reģistrēšanu </w:t>
      </w:r>
      <w:r w:rsidR="00000000" w:rsidRPr="00000000" w:rsidDel="00000000">
        <w:rPr>
          <w:i w:val="1"/>
          <w:rtl w:val="0"/>
        </w:rPr>
        <w:t xml:space="preserve">de minimis</w:t>
      </w:r>
      <w:r w:rsidR="00000000" w:rsidRPr="00000000" w:rsidDel="00000000">
        <w:rPr>
          <w:rtl w:val="0"/>
        </w:rPr>
        <w:t xml:space="preserve"> atbalsta sistēmā, kā arī nodrošina informācijas uzglabāšu 10 gadus no dienas, kad piešķirts pēdējais atbalsts. Informācijas glabāšanu nodrošina arī finansējuma saņēmējs, glabājot to 10 gadus no dienas, kad piešķirts atbalsts.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i w:val="1"/>
          <w:rtl w:val="0"/>
        </w:rPr>
        <w:t xml:space="preserve">Finansējuma demarkācija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paredz, ka finansējuma saņēmējs atbalstu, kas piešķirts šo noteikumu ietvaros saskaņā ar Regulu Nr. 2023/2831, nedrīkst apvienot ar citu atbalstu par vienām un tām pašām attiecināmajām izmaksām. Šādi tiek nodrošināta finansējuma demarkācija attiecībā uz citām Eiropas Savienības atbalsta programmām, piemēram, atbalstu, kas paredzēts ar Ministru kabineta 2022.gada 5.jūlija noteikumiem Nr.418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Ministru kabineta 2024.gada 9.janvāra noteikumiem Nr.32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kārtas īstenošanas noteikumi"; Ministru kabineta 2024.gada 9.janvāra noteikumiem Nr.33 "Latvijas Atveseļošanas un noturības mehānisma plāna 1.2. reformu un investīciju virziena "Energoefektivitātes uzlabošana" 1.2.1.2.i. investīcijas "Energoefektivitātes paaugstināšana uzņēmējdarbībā (ietverot pāreju uz atjaunojamo energoresursu tehnoloģiju izmantošanu siltumapgādē un pētniecības un attīstības aktivitātes (t. sk. bioekonomikā))" 1.2.1.2.i.2. pasākuma "Inovatīvu produktu un tehnoloģiju izstrāde" īstenošanas noteikumi"; Ministru kabineta 2024.gada 9.janvāra noteikumiem Nr.34 "Latvijas Atveseļošanas un noturības mehānisma plāna 2.2. reformu un investīciju virziena "Uzņēmumu digitālā transformācija un inovācijas" 2.2.1.3.i. investīcijas "Atbalsts jaunu produktu un pakalpojumu ieviešanai uzņēmējdarbībā" īstenošanas noteikumi".</w:t>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Grantu ieviešana Latvijā ļautu privātā un nevalstiskā sektora institūcijām (mazie un vidējie saimnieciskās darbības veicēji) likumā noteiktajā kārtībā pretendēt un saņemt grantu finansējumu (līdzfinansējumu) ar kiberdrošību saistīto projektu īstenošanai.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Iecerētais institucionāli tiesiskais risinājums grantu ieviešanai ir piemērojams galvenokārt privātā sektora institūcijām - mazajiem un vidējiem saimnieciskās darbības veicējiem. Paredzēts, ka minētais atbalsts potenciāli veicinās minēto institūciju informācijas un komunikācijas tehnoloģiju drošību un sekmēs sabiedrības noturību pret kiberdrošības apdraudējumiem.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sekmēs finansējuma saņēmēju kiberdrošības transformāciju, stiprinot to informācijas un komunikācijas tehnoloģiju drošību un veicinot noturību pret kiberapdraudējumiem, kas savukārt pozitīvi ietekmēs finansējuma saņēmēju pārstāvēto nozaru konkurētspēju Eiropas Savienības vienotajā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īpaši sekmēs mazo un vidējo saimnieciskās darbības veicēju kiberdrošību, stiprinot to informācijas un komunikācijas tehnoloģiju drošību un veicinot to noturību pret kiberdrošības apdraudējumiem, tādējādi sekmējot šo mazo un vidējo saimnieciskās darbības veicēju konkurētspēju Eiropas Savienības vienotajā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Paredzot atbalstu kiberdrošības transformācijai mazajiem un vidējiem saimnieciskās darbības veicējiem, to konkurētspēja to pārstāvētajās nozarēs kā atbalsta saņēmējiem kopumā var uzlaboties. Tāpat būtiski izcelt Latvijas informācijas un komunikācijas tehnoloģiju uzņēmumu iespēju kā atsevišķu uzdevumu izpildītājiem grantu projektos vairot konkurētspēju gan Latvijas, gan Eiropas Savienības kopējā tirgū.</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Grantu finansējuma saņēmēji, atkarība no to individuālajiem projektiem, spētu sekmēt nozares attīstību, kā arī šī sektora nodarbinātību. Proti, projekta iesniedzējs sava projekta ietvaros var attiecināt personāla izmaksas, kas nepieciešamas projekta īstenošanas nolūkiem, vajadzības gadījumā uz projekta īstenošanas laiku veidojot jaunas amata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2027</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100 000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Grantu programmai "Mazo un vidējo saimnieciskās darbības veicēju kiberdrošības transformācija" paredzēts 1 000 000 </w:t>
            </w:r>
            <w:r w:rsidR="00000000" w:rsidRPr="00000000" w:rsidDel="00000000">
              <w:rPr>
                <w:sz w:val="24"/>
                <w:i w:val="1"/>
                <w:rtl w:val="0"/>
              </w:rPr>
              <w:t xml:space="preserve">euro</w:t>
            </w:r>
            <w:r w:rsidR="00000000" w:rsidRPr="00000000" w:rsidDel="00000000">
              <w:rPr>
                <w:sz w:val="24"/>
                <w:rtl w:val="0"/>
              </w:rPr>
              <w:t xml:space="preserve"> EK līdzfinansējums. </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EK projekta konsorcijam 2023. gadā pārskaitīja 80% no EK granta apjoma kā priekšfinansējumu (1 000 000 x 80/100 = 800 000 </w:t>
            </w:r>
            <w:r w:rsidR="00000000" w:rsidRPr="00000000" w:rsidDel="00000000">
              <w:rPr>
                <w:sz w:val="24"/>
                <w:i w:val="1"/>
                <w:rtl w:val="0"/>
              </w:rPr>
              <w:t xml:space="preserve">euro</w:t>
            </w:r>
            <w:r w:rsidR="00000000" w:rsidRPr="00000000" w:rsidDel="00000000">
              <w:rPr>
                <w:sz w:val="24"/>
                <w:rtl w:val="0"/>
              </w:rPr>
              <w:t xml:space="preserve">). 2024. gadā pēc projekta pirmās izvērtēšanas sanāksmes (septembris vai oktobris) tiks pārskaitīti vēl 10% EK granta finansējuma (100 000 </w:t>
            </w:r>
            <w:r w:rsidR="00000000" w:rsidRPr="00000000" w:rsidDel="00000000">
              <w:rPr>
                <w:sz w:val="24"/>
                <w:i w:val="1"/>
                <w:rtl w:val="0"/>
              </w:rPr>
              <w:t xml:space="preserve">euro</w:t>
            </w:r>
            <w:r w:rsidR="00000000" w:rsidRPr="00000000" w:rsidDel="00000000">
              <w:rPr>
                <w:sz w:val="24"/>
                <w:rtl w:val="0"/>
              </w:rPr>
              <w:t xml:space="preserve">), bet pēc projekta noslēguma 2025. gadā - tiks pārskaitīts gala maksājums 10% apmērā (100 000 </w:t>
            </w:r>
            <w:r w:rsidR="00000000" w:rsidRPr="00000000" w:rsidDel="00000000">
              <w:rPr>
                <w:sz w:val="24"/>
                <w:i w:val="1"/>
                <w:rtl w:val="0"/>
              </w:rPr>
              <w:t xml:space="preserve">euro</w:t>
            </w:r>
            <w:r w:rsidR="00000000" w:rsidRPr="00000000" w:rsidDel="00000000">
              <w:rPr>
                <w:sz w:val="24"/>
                <w:rtl w:val="0"/>
              </w:rPr>
              <w:t xml:space="preserve">) no EK granta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Visi izdevumi 1 000 000 </w:t>
            </w:r>
            <w:r w:rsidR="00000000" w:rsidRPr="00000000" w:rsidDel="00000000">
              <w:rPr>
                <w:sz w:val="24"/>
                <w:i w:val="1"/>
                <w:rtl w:val="0"/>
              </w:rPr>
              <w:t xml:space="preserve">euro</w:t>
            </w:r>
            <w:r w:rsidR="00000000" w:rsidRPr="00000000" w:rsidDel="00000000">
              <w:rPr>
                <w:sz w:val="24"/>
                <w:rtl w:val="0"/>
              </w:rPr>
              <w:t xml:space="preserve"> apmērā no Finanšu ministrijas (CFLA) budžeta apakšprogrammas 70.11.00 "ES programmas "Digitālā Eiropa" grantu programmas konta provizoriski paredzēti veikt 2024. gadā un 2025. gadā; atkarībā no pieteikto projektu ilguma un īstenošanas termiņiem, daļa 2024. gadā paredzēto izdevumu var tikt veikta arī 2025. gadā, tos pārceļot. Maksājumus projektu īstenotājiem veiks CFLA pēc maksājuma pieprasījumu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Atbilstoši Ministru kabineta 31.10.23 rīkojumam Nr. 713 "Par atļauju Aizsardzības ministrijai un Finanšu ministrijai (Centrālajai finanšu un līgumu aģentūrai) uzņemties valsts budžeta ilgtermiņa saistības un īstenot projektus un pasākumus Eiropas Komisijas tieši administrētajās programmās" 2023. gadā tika veikts transferta EK priekšfinansējuma pārskaitījums 800 000 </w:t>
            </w:r>
            <w:r w:rsidR="00000000" w:rsidRPr="00000000" w:rsidDel="00000000">
              <w:rPr>
                <w:sz w:val="24"/>
                <w:i w:val="1"/>
                <w:rtl w:val="0"/>
              </w:rPr>
              <w:t xml:space="preserve">euro</w:t>
            </w:r>
            <w:r w:rsidR="00000000" w:rsidRPr="00000000" w:rsidDel="00000000">
              <w:rPr>
                <w:sz w:val="24"/>
                <w:rtl w:val="0"/>
              </w:rPr>
              <w:t xml:space="preserve"> apmērā (EK priekšfinansējums) no Aizsardzības ministrijas  budžeta apakšprogrammas 70.11.00 "ES programmas "Digitālā Eiropa" projektu un pasākumu īstenošana" uz Finanšu ministrijas (CFLA) budžeta apakšprogrammu 70.11.00 "ES programmas "Digitālā Eiropa" projektu un pasākumu īstenošana". Ārvalstu finanšu palīdzības atlikums 800 000 </w:t>
            </w:r>
            <w:r w:rsidR="00000000" w:rsidRPr="00000000" w:rsidDel="00000000">
              <w:rPr>
                <w:sz w:val="24"/>
                <w:i w:val="1"/>
                <w:rtl w:val="0"/>
              </w:rPr>
              <w:t xml:space="preserve">euro</w:t>
            </w:r>
            <w:r w:rsidR="00000000" w:rsidRPr="00000000" w:rsidDel="00000000">
              <w:rPr>
                <w:sz w:val="24"/>
                <w:rtl w:val="0"/>
              </w:rPr>
              <w:t xml:space="preserve"> apmērā tika deponēts uz 2024. gadu, kad plānota grantu izmaksa grantu projektu īstenotājiem - mazajiem un vidējiem saimnieciskās darbības veicējiem - programmā "Mazo un vidējo saimnieciskās darbības veicēju kiberdrošības transformācija", un pēc vajadzības 2024. gada atlikums var tikt deponēts arī uz 2025. 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Tā kā 2024. gadā EK grantu finansējums tiks pārskaitīts septembrī vai oktobrī (pēc projekta pirmās izvērtēšanas sanāksmes) un 2025. gadā pēc projekta noslēguma, un lai nodrošinātu grantu programmas "Mazo un vidējo saimnieciskās darbības veicēju kiberdrošības transformācija" veiksmīgu īstenošanu, 2024. gadā un 2025. gadā tiek plānots pieprasīt valsts budžeta priekšfinansējumu no 80.00.00 programmas (pieprasījumu veiks CFLA). Priekšfinansējums 200 000 </w:t>
            </w:r>
            <w:r w:rsidR="00000000" w:rsidRPr="00000000" w:rsidDel="00000000">
              <w:rPr>
                <w:sz w:val="24"/>
                <w:i w:val="1"/>
                <w:rtl w:val="0"/>
              </w:rPr>
              <w:t xml:space="preserve">euro</w:t>
            </w:r>
            <w:r w:rsidR="00000000" w:rsidRPr="00000000" w:rsidDel="00000000">
              <w:rPr>
                <w:sz w:val="24"/>
                <w:rtl w:val="0"/>
              </w:rPr>
              <w:t xml:space="preserve"> apmērā nepieciešams jau 2024. gadā, lai nodrošinātu pilnu līdzfinansējumu grantu programmas "Mazo un vidējo saimnieciskās darbības veicēju kiberdrošības transformācija" atbalsta saņēmējiem, jo to projekti noslēgsies ne vēlāk kā 2025. gada  30. aprīlī - pirms EK granta gala maksājuma saņemšanas.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Grantu programmas administrēšanu veiks viens CFLA vecākais eksperts (projekta NCC-LV darbinieks), kas tiks piesaistīts esošo personāla resursu ietvaros. Atlīdzība vecākajam ekspertam tiks nodrošināta no Finanšu ministrijas (CFLA) budžeta apakšprogrammas 70.11.00 "ES programmas "Digitālā Eiropa" projektu un pasākumu īstenošana" tehniskās palīdzības kontiem (projekta NCC-LV pamata izdevumu kontiem).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Iepriekš minētais CFLA amats ir saskaņots ar Valsts kanceleju normatīvo aktu noteiktajā kārtībā.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ministrijas budžeta apakšprogrammā 70.11.00 "ES programmas "Digitālā Eiropa" projektu un pasākumu īstenošana" tiks ieplānots saņemtais Eiropas Komisijas līdzfinansējums, kā arī normatīvajos aktos noteiktajā kārtībā no budžeta resora “74. Gadskārtējā valsts budžeta izpildes procesā pārdalāmais finansējums” programmas 80.00.00 “Nesadalītajās finansējums Eiropas Savienības politiku instrumentu un pārējās ārvalstu finanšu palīdzības līdzfinansēto projektu un pasākumu īstenošanai” pieprasīts priekšfinansējums.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valsts budžetā atmaksātu saņemto un izlietoto priekšfinansējumu, budžetā tiks ieplānoti ieņēmumi no ārvalstu finanšu palīdzības atmaksām valsts pamatbudžetam un atbilstoši izdevumi atmaksas veikšanai valsts budžetā.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apstiprināšanai MK tiek virzīts vienlaikus ar MK noteikumu projektu "Eiropas Kiberdrošības kompetenču centra 2021.–2027. gada plānošanas perioda grantu projektu ieviešanas, vadības, uzraudzības un kontroles noteikumi"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 gada 13. decembra regula Nr. 2023/2831 par Līguma par Eiropas Savienības darbību 107. un 108. panta piemērošanu de minimis atbalstam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 gada 13. decembra regula Nr. 2023/2831 par Līguma par Eiropas Savienības darbību 107. un 108. panta piemērošanu de minimis atbalstam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 Regulas 3. pantā noteikti ierobežojumi, kas iekļauti noteikumu 19. punktā.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stingrākas prasības neparedz.</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 panta 3. un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Militārās izlūkošanas un drošības dienests, Valsts drošības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2023. gada 5. jūlija līdz 2023. gada 19. jūlijam norisinājās publiskā apspriešana, kuras ietvaros netika saņemti iebildumi vai priekšlikumi. Vienlaikus notika konsultācijas ar kiberdrošības kompetenču kopienas dalībniekiem, konsultāciju laikā tika saņemts viens priekšlikums, kurš tiks ņemts vērā sagatavojot projektu iesniegumu atlases kritērijus.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Satversmes aizsardzības birojs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Militārās izlūkošanas un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drošības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Grantu vadības likuma ietvaros tika paplašinātas Aizsardzības ministrijas un Centrālās finanšu un līguma aģentūras funkcijas. Šo Noteikumu ietvaros tiek noteikta Aizsardzības ministrijas un Centrālās finanšu un līguma aģentūras Grantu vadības likuma ietvaros paplašināto funkciju izpildes kārtība saistībā ar grantu programmas "Mazo un vidējo saimnieciskās darbības veicēju kiberdrošības transformācija" īstenošanu.</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publiskā un privātā sektora informācijas un komunikācijas tehnoloģiju attīstību, sekmējot informācijas un komunikāciju tehnoloģiju drošību un noturību pret kiberdrošības apdraudējumiem. Jāuzsver, ka privātā sektora kibernoturības uzlabošana stiprinās informācijas un komunikācijas tehnoloģiju piegāžu ķēžu drošību, tādējādi stiprinot arī valsts un pašvadību institūciju kiberdrošību. Grantu programmas ietvaros tiks atbalstīti arī pētnieciskie un eksperimentālie projekti, kuru rezultāti var tikt atkalizmantoti ārpus granta saņēmēja organizācijas (piemēram, jaunu koncepciju un prototipu izstrāde, eksperimentālo testu rezultāti u.tml.).</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informācijas sabiedrības un digitālās transformācijas politikas mērķu sasniegšanu, veicinot kiberdrošības prasmju un kompetenču attīstību un sekmējot sabiedrības kibernoturību.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Nacionālā attīstības plāna 2021.–2027. gadam rīcības virziena "Tehnoloģiskā vide un pakalpojumi" 300. punktā minēto kiberdrošības pasākumu īstenošanu.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Paredzams, ka grantu atbalsts pozitīvi ietekmēs datu aizsardzību. Grantu atbalsts sekmēs finansējuma saņēmēju – mazo un vidējo saimnieciskās darbības veicēju informācijas un komunikācijas tehnoloģiju drošību un noturību pret kiberdrošības apdraudējumiem, cita starpā veicinot drošu datu elektronisko apstrādi.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23-TA-1471</w:t>
    </w:r>
    <w:r>
      <w:br/>
    </w:r>
    <w:r w:rsidR="00000000" w:rsidRPr="00000000" w:rsidDel="00000000">
      <w:rPr>
        <w:rtl w:val="0"/>
      </w:rPr>
      <w:t xml:space="preserve">Izdrukāts 29.07.2026. 23.51 - 7.0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23-TA-1471</w:t>
    </w:r>
    <w:r>
      <w:br/>
    </w:r>
    <w:r w:rsidR="00000000" w:rsidRPr="00000000" w:rsidDel="00000000">
      <w:rPr>
        <w:rtl w:val="0"/>
      </w:rPr>
      <w:t xml:space="preserve">Izdrukāts 29.07.2026. 23.51 - 7.0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anotācija_(ex_ante)_23-TA-1471.docx</dc:title>
</cp:coreProperties>
</file>

<file path=docProps/custom.xml><?xml version="1.0" encoding="utf-8"?>
<Properties xmlns="http://schemas.openxmlformats.org/officeDocument/2006/custom-properties" xmlns:vt="http://schemas.openxmlformats.org/officeDocument/2006/docPropsVTypes"/>
</file>