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 marta noteikumos Nr. 150 "Emisijas kvotu izsolīšanas instrumenta finansēto projektu atklāta konkursa "Siltumnīcefekta gāzu emisiju samazināšana mājsaimniecībās – atbalsts atjaunojamo energoresursu izmantošanai"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(turpmāk - MK noteikumu projekts) paredz veikt grozījumus Ministru kabineta 2022. gada 1. marta noteikumos Nr. 150 “Emisijas kvotu izsolīšanas instrumenta finansēto projektu atklāta konkursa “Siltumnīcefekta gāzu emisiju samazināšana mājsaimniecībās – atbalsts atjaunojamo energoresursu izmantošanai” nolikums” (turpmāk – MK noteikumi Nr.150).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papildināt MK noteikumus Nr.150 ar nosacījumiem, lai Emisijas kvotu izsolīšanas instrumenta (turpmāk - EKII) finansēto projektu atklāto konkursu “Siltumnīcefekta gāzu emisiju samazināšana mājsaimniecībās – atbalsts atjaunojamo energoresursu izmantošanai” (turpmāk – konkurss) papildinātu ar jaunu atbalstāmo aktivitāti, pagarinātu konkursa īstenošanas termiņu un palielinātu kopējo finansējuma apjomu, vienlaikus nodrošinot atbalsta īstenošanas aktivitāšu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10.10.2024. konkursa ietvaros ir iesniegti 12 896 projektu iesniegumi par kopējo pieprasīto EKII finansējumu 45 215 739 </w:t>
      </w:r>
      <w:r w:rsidR="00000000" w:rsidRPr="00000000" w:rsidDel="00000000">
        <w:rPr>
          <w:i w:val="1"/>
          <w:rtl w:val="0"/>
        </w:rPr>
        <w:t xml:space="preserve">euro </w:t>
      </w:r>
      <w:r w:rsidR="00000000" w:rsidRPr="00000000" w:rsidDel="00000000">
        <w:rPr>
          <w:rtl w:val="0"/>
        </w:rPr>
        <w:t xml:space="preserve">apmērā. Tai skaitā vairāk kā 1000 projekti ir īstenoti Rīgā un Mārupes novadā, savukārt no 500 līdz 1000 projektiem katrā, Ķekavas, Ādažu un Ropažu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Nr.150 4. punktā noteiktais paredz konkursa ietvaros pieejamo kopējo atbalstu - 45 milj. </w:t>
      </w:r>
      <w:r w:rsidR="00000000" w:rsidRPr="00000000" w:rsidDel="00000000">
        <w:rPr>
          <w:i w:val="1"/>
          <w:rtl w:val="0"/>
        </w:rPr>
        <w:t xml:space="preserve">euro</w:t>
      </w:r>
      <w:r w:rsidR="00000000" w:rsidRPr="00000000" w:rsidDel="00000000">
        <w:rPr>
          <w:rtl w:val="0"/>
        </w:rPr>
        <w:t xml:space="preserve">, savukārt 5. punkts nosaka, ka konkursa ietvaros aktivitātes, kas iekļautas apstiprinātajos projektu iesniegumos īsteno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iedzīvotāju līdzšinējo interesi (mēneša laikā atjaunīgo energoresursu tehnoloģijas iedzīvotāji iegādājas par kopējo summu ap 1,4 milj. </w:t>
      </w:r>
      <w:r w:rsidR="00000000" w:rsidRPr="00000000" w:rsidDel="00000000">
        <w:rPr>
          <w:i w:val="1"/>
          <w:rtl w:val="0"/>
        </w:rPr>
        <w:t xml:space="preserve">euro</w:t>
      </w:r>
      <w:r w:rsidR="00000000" w:rsidRPr="00000000" w:rsidDel="00000000">
        <w:rPr>
          <w:rtl w:val="0"/>
        </w:rPr>
        <w:t xml:space="preserve"> apmērā), kā arī to, ka iniciatīvas attiecībā uz pasākumu ieviešanu klimata politikas mērķu sasniegšanai paplašināsies (aktualizētais Nacionālais enerģētikas un klimata plāns 2021.-2030.gadam; likumprojekts "Klimata likums") ir prognozējams, ka arī turpmāk būs aktīva interese no iedzīvotāju puses iegādāties videi draudzīgas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Projektos izvēlētie risinājumi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87"/>
        <w:gridCol w:w="3068"/>
        <w:gridCol w:w="2936"/>
        <w:tblGridChange w:id="0">
          <w:tblGrid>
            <w:gridCol w:w="3187"/>
            <w:gridCol w:w="3068"/>
            <w:gridCol w:w="2936"/>
          </w:tblGrid>
        </w:tblGridChange>
      </w:tblGrid>
      <w:tr>
        <w:tc>
          <w:tcPr>
            <w:shd w:fill="66ff99"/>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Aktivitāte</w:t>
            </w:r>
          </w:p>
        </w:tc>
        <w:tc>
          <w:tcPr>
            <w:shd w:fill="66ff99"/>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Īstenoto projektu</w:t>
            </w:r>
            <w:r w:rsidR="00000000" w:rsidRPr="00000000" w:rsidDel="00000000">
              <w:rPr>
                <w:sz w:val="24"/>
                <w:b w:val="1"/>
                <w:rtl w:val="0"/>
              </w:rPr>
              <w:t xml:space="preserve">skaits</w:t>
            </w:r>
            <w:r w:rsidR="00000000" w:rsidRPr="00000000" w:rsidDel="00000000">
              <w:rPr>
                <w:sz w:val="24"/>
                <w:b w:val="1"/>
                <w:vertAlign w:val="superscript"/>
                <w:rtl w:val="0"/>
              </w:rPr>
              <w:t xml:space="preserve">1)</w:t>
            </w:r>
          </w:p>
        </w:tc>
        <w:tc>
          <w:tcPr>
            <w:shd w:fill="66ff99"/>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Kopējā jauda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koksnes biomasas katls, kas piemērots granulu kurināmajam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3 068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saules kolektoru sistēma ar akumulācijas tvertni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3 449 litri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siltumsūknis (zeme-ūdens tipa)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917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siltumsūknis (gaiss-ūdens tipa)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8 927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siltumsūknis (gaiss-gaiss tipa)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saules elektrostacija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99 247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vēja elektrostacija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mājsaimniecības pieslēguma centralizētajai siltumapgādes sistēmai projektēšana un siltummezgla izveide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708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uzglabāšanas iekārta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1 560 kWh</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vienā projektā var būt vienlaicīgi īstenotas vairākas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finansējums un atbalsta intensitāte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60"/>
        <w:gridCol w:w="2260"/>
        <w:gridCol w:w="2260"/>
        <w:gridCol w:w="2260"/>
        <w:tblGridChange w:id="0">
          <w:tblGrid>
            <w:gridCol w:w="2260"/>
            <w:gridCol w:w="2260"/>
            <w:gridCol w:w="2260"/>
            <w:gridCol w:w="2260"/>
          </w:tblGrid>
        </w:tblGridChange>
      </w:tblGrid>
      <w:tr>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Aktivitāte</w:t>
            </w:r>
          </w:p>
        </w:tc>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Projekta (attiecināmās) izmaksas, EUR</w:t>
            </w:r>
          </w:p>
        </w:tc>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EKII atbalsts, EUR</w:t>
            </w:r>
          </w:p>
        </w:tc>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EKII atbalsts, %</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koksnes biomasas katls, kas piemērots granulu kurināmajam</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719 092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379 503</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saules kolektoru sistēma ar akumulācijas tvertni</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49 820</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23 367</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siltumsūknis (zeme-ūdens tipa)</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989 932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502 932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siltumsūknis (gaiss-ūdens tipa)</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6 643 051</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3 333 340</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50%</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siltumsūknis (gaiss-gaiss tipa)</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75 571</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44 317</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saules elektrostacija</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84 971 980</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39 976 615</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vēja elektrostacija</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20 053</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13 716</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mājsaimniecības pieslēguma centralizētajai siltumapgādes sistēmai projektēšana un siltummezgla izveide</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99 369</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68 252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r>
      <w:tr>
        <w:tc>
          <w:tcPr>
            <w:shd w:fill="ffffff"/>
            <w:vAlign w:val="top"/>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uzglabāšanas iekārta</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671 630</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399 900</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aizstātais apkures kurināmā veids (apstiprinātie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gāze - 774;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ogles - 70;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dīzeļdegviela - 48;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sašķidrinātā gāze - 37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kūdras briketes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izvēli pieslēgties centralizētajai siltumapgādei ir izvēlējušies Liepājas un Ventspils pilsētu, kā arī Talsu, Madonas, Kuldīgas un Salaspils novadu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Projektos indikatīvi plānotais oglekļa dioksīda (turpmāk - CO</w:t>
      </w:r>
      <w:r w:rsidR="00000000" w:rsidRPr="00000000" w:rsidDel="00000000">
        <w:rPr>
          <w:vertAlign w:val="subscript"/>
          <w:rtl w:val="0"/>
        </w:rPr>
        <w:t xml:space="preserve">2</w:t>
      </w:r>
      <w:r w:rsidR="00000000" w:rsidRPr="00000000" w:rsidDel="00000000">
        <w:rPr>
          <w:rtl w:val="0"/>
        </w:rPr>
        <w:t xml:space="preserve">) emisiju samazinājums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63"/>
        <w:gridCol w:w="3063"/>
        <w:gridCol w:w="3063"/>
        <w:tblGridChange w:id="0">
          <w:tblGrid>
            <w:gridCol w:w="3063"/>
            <w:gridCol w:w="3063"/>
            <w:gridCol w:w="3063"/>
          </w:tblGrid>
        </w:tblGridChange>
      </w:tblGrid>
      <w:tr>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Aktivitāte</w:t>
            </w:r>
          </w:p>
        </w:tc>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EKII atbalsts, EUR</w:t>
            </w:r>
          </w:p>
        </w:tc>
        <w:tc>
          <w:tcPr>
            <w:shd w:fill="66ff99"/>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CO</w:t>
            </w:r>
            <w:r w:rsidR="00000000" w:rsidRPr="00000000" w:rsidDel="00000000">
              <w:rPr>
                <w:sz w:val="24"/>
                <w:b w:val="1"/>
                <w:vertAlign w:val="subscript"/>
                <w:rtl w:val="0"/>
              </w:rPr>
              <w:t xml:space="preserve">2</w:t>
            </w:r>
            <w:r w:rsidR="00000000" w:rsidRPr="00000000" w:rsidDel="00000000">
              <w:rPr>
                <w:sz w:val="24"/>
                <w:b w:val="1"/>
                <w:rtl w:val="0"/>
              </w:rPr>
              <w:t xml:space="preserve">, kg</w:t>
            </w:r>
          </w:p>
        </w:tc>
      </w:tr>
      <w:tr>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esoša fosilos energoresursus izmantojoša apkures katla nomaiņa</w:t>
            </w:r>
            <w:r w:rsidR="00000000" w:rsidRPr="00000000" w:rsidDel="00000000">
              <w:rPr>
                <w:sz w:val="24"/>
                <w:vertAlign w:val="superscript"/>
                <w:rtl w:val="0"/>
              </w:rPr>
              <w:t xml:space="preserve">1)</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4 283 460</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22 095 842</w:t>
            </w:r>
          </w:p>
        </w:tc>
      </w:tr>
      <w:tr>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jaunas elektroenerģijas ražošanas iekārtas iegāde</w:t>
            </w:r>
            <w:r w:rsidR="00000000" w:rsidRPr="00000000" w:rsidDel="00000000">
              <w:rPr>
                <w:sz w:val="24"/>
                <w:vertAlign w:val="superscript"/>
                <w:rtl w:val="0"/>
              </w:rPr>
              <w:t xml:space="preserve">1)</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39 990 331</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54 103 207</w:t>
            </w:r>
          </w:p>
        </w:tc>
      </w:tr>
      <w:tr>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pieslēgums centralizētajai siltumapgādes sistēmai</w:t>
            </w:r>
            <w:r w:rsidR="00000000" w:rsidRPr="00000000" w:rsidDel="00000000">
              <w:rPr>
                <w:sz w:val="24"/>
                <w:vertAlign w:val="superscript"/>
                <w:rtl w:val="0"/>
              </w:rPr>
              <w:t xml:space="preserve">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68 252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436 871</w:t>
            </w:r>
          </w:p>
        </w:tc>
      </w:tr>
      <w:tr>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44 342 042</w:t>
            </w:r>
          </w:p>
        </w:tc>
        <w:tc>
          <w:tcPr>
            <w:shd w:fill="ffffff"/>
            <w:vAlign w:val="center"/>
            <w:trHeight w="exact" w:val="75"/>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76 635 920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indikatīvo CO</w:t>
      </w:r>
      <w:r w:rsidR="00000000" w:rsidRPr="00000000" w:rsidDel="00000000">
        <w:rPr>
          <w:vertAlign w:val="subscript"/>
          <w:rtl w:val="0"/>
        </w:rPr>
        <w:t xml:space="preserve">2</w:t>
      </w:r>
      <w:r w:rsidR="00000000" w:rsidRPr="00000000" w:rsidDel="00000000">
        <w:rPr>
          <w:rtl w:val="0"/>
        </w:rPr>
        <w:t xml:space="preserve"> emisijas samazinājumu aprēķina pēc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=N</w:t>
      </w:r>
      <w:r w:rsidR="00000000" w:rsidRPr="00000000" w:rsidDel="00000000">
        <w:rPr>
          <w:vertAlign w:val="subscript"/>
          <w:rtl w:val="0"/>
        </w:rPr>
        <w:t xml:space="preserve">platība</w:t>
      </w:r>
      <w:r w:rsidR="00000000" w:rsidRPr="00000000" w:rsidDel="00000000">
        <w:rPr>
          <w:rtl w:val="0"/>
        </w:rPr>
        <w:t xml:space="preserve"> × 100 × 0,202 × 5,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 oglekļa dioksīda emisijas samazinājums projektā,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Nplatība – dzīvojamās mājas platība, m</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kWh/m</w:t>
      </w:r>
      <w:r w:rsidR="00000000" w:rsidRPr="00000000" w:rsidDel="00000000">
        <w:rPr>
          <w:vertAlign w:val="superscript"/>
          <w:rtl w:val="0"/>
        </w:rPr>
        <w:t xml:space="preserve">2</w:t>
      </w:r>
      <w:r w:rsidR="00000000" w:rsidRPr="00000000" w:rsidDel="00000000">
        <w:rPr>
          <w:rtl w:val="0"/>
        </w:rPr>
        <w:t xml:space="preserve"> – enerģijas patēriņš apkurei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 kgCO</w:t>
      </w:r>
      <w:r w:rsidR="00000000" w:rsidRPr="00000000" w:rsidDel="00000000">
        <w:rPr>
          <w:vertAlign w:val="subscript"/>
          <w:rtl w:val="0"/>
        </w:rPr>
        <w:t xml:space="preserve">2</w:t>
      </w:r>
      <w:r w:rsidR="00000000" w:rsidRPr="00000000" w:rsidDel="00000000">
        <w:rPr>
          <w:rtl w:val="0"/>
        </w:rPr>
        <w:t xml:space="preserve">/kWh – SEG emisijas faktors dabas 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 pieci monitoringa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indikatīvo CO</w:t>
      </w:r>
      <w:r w:rsidR="00000000" w:rsidRPr="00000000" w:rsidDel="00000000">
        <w:rPr>
          <w:vertAlign w:val="subscript"/>
          <w:rtl w:val="0"/>
        </w:rPr>
        <w:t xml:space="preserve">2</w:t>
      </w:r>
      <w:r w:rsidR="00000000" w:rsidRPr="00000000" w:rsidDel="00000000">
        <w:rPr>
          <w:rtl w:val="0"/>
        </w:rPr>
        <w:t xml:space="preserve"> emisijas samazinājumu aprēķina pēc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=N</w:t>
      </w:r>
      <w:r w:rsidR="00000000" w:rsidRPr="00000000" w:rsidDel="00000000">
        <w:rPr>
          <w:vertAlign w:val="subscript"/>
          <w:rtl w:val="0"/>
        </w:rPr>
        <w:t xml:space="preserve">jauda</w:t>
      </w:r>
      <w:r w:rsidR="00000000" w:rsidRPr="00000000" w:rsidDel="00000000">
        <w:rPr>
          <w:rtl w:val="0"/>
        </w:rPr>
        <w:t xml:space="preserve"> × 1000 × 0,109 × 5,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 oglekļa dioksīda emisijas samazinājums projektā,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jauda</w:t>
      </w:r>
      <w:r w:rsidR="00000000" w:rsidRPr="00000000" w:rsidDel="00000000">
        <w:rPr>
          <w:rtl w:val="0"/>
        </w:rPr>
        <w:t xml:space="preserve"> – uzstādītās elektrostacijas jauda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 h – iekārtas darbības laiks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 kgCO</w:t>
      </w:r>
      <w:r w:rsidR="00000000" w:rsidRPr="00000000" w:rsidDel="00000000">
        <w:rPr>
          <w:vertAlign w:val="subscript"/>
          <w:rtl w:val="0"/>
        </w:rPr>
        <w:t xml:space="preserve">2</w:t>
      </w:r>
      <w:r w:rsidR="00000000" w:rsidRPr="00000000" w:rsidDel="00000000">
        <w:rPr>
          <w:rtl w:val="0"/>
        </w:rPr>
        <w:t xml:space="preserve">/kWh – vidējais SEG emisijas faktors elektrībai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 pieci monitoringa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statistiskā informācija par sniegto atbalstu konkursa ietvaros ir pieejama tīmekļa vietnē - https://ekii.lv/index.php?page=atbalsts-majsaimniecibam.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nepieciešams turpināt sniegt atbalstu iedzīvotājiem atjaunīgo energoresursu iekārtu iegādei. Tādējādi ir nepieciešams pagarināt konkursa ietvaros apstiprināto aktivitāšu īstenošanas termiņu un palielināt pieejamo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pieejamo EKII finansējuma apjomu konkursa ietvaros, kā arī iedzīvotāju pastiprināto interesi iegādāties un uzstādīt atjaunīgo energoresursu izmantojošas iekārtas enerģijas ražošanai mājsaimniecībās pašpatēriņa nodrošināšanai ir nepieciešams paplašināt atbalstāmo darbību loku, lai pēc iespējas vairāk iedzīvotāju varētu turpināt saņemt atbalstu konkursa ietvaros. Vienlaikus nepieciešams palielināt kopējo pieejamo finansējumu, nodrošinot atbalsta īstenošanas aktivitāšu nepārtrauktību laika posmā līdz 2029.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nepieciešamajiem risinājumiem ir EKII programmas finansējuma atklāta konkursa “Siltumnīcefekta gāzu emisiju samazināšana mājsaimniecībās – atbalsts atjaunojamo energoresursu izmantošanai” īstenošanai palielināšana, kā arī konkursa ietvaros atbalstāmo aktivitāšu īstenošanas termiņa pagarināšana no 2024. gada 31. decembra līdz  2029.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projekts precizē MK noteikumu Nr.150 4.punktu</w:t>
      </w:r>
      <w:r w:rsidR="00000000" w:rsidRPr="00000000" w:rsidDel="00000000">
        <w:rPr>
          <w:rtl w:val="0"/>
        </w:rPr>
        <w:t xml:space="preserve">, palielinot konkursa ietvaros pieejamo finansējuma apmēru no 45 000 000 </w:t>
      </w:r>
      <w:r w:rsidR="00000000" w:rsidRPr="00000000" w:rsidDel="00000000">
        <w:rPr>
          <w:i w:val="1"/>
          <w:rtl w:val="0"/>
        </w:rPr>
        <w:t xml:space="preserve">euro </w:t>
      </w:r>
      <w:r w:rsidR="00000000" w:rsidRPr="00000000" w:rsidDel="00000000">
        <w:rPr>
          <w:rtl w:val="0"/>
        </w:rPr>
        <w:t xml:space="preserve">uz 85 000 000 </w:t>
      </w:r>
      <w:r w:rsidR="00000000" w:rsidRPr="00000000" w:rsidDel="00000000">
        <w:rPr>
          <w:i w:val="1"/>
          <w:rtl w:val="0"/>
        </w:rPr>
        <w:t xml:space="preserve">euro</w:t>
      </w:r>
      <w:r w:rsidR="00000000" w:rsidRPr="00000000" w:rsidDel="00000000">
        <w:rPr>
          <w:rtl w:val="0"/>
        </w:rPr>
        <w:t xml:space="preserve">. Palielinātā atbalsta apjoma ietvaros dzīvojamās mājās un daudzdzīvokļu mājās indikatīvi būs iespējams īstenot 11 tūkst. projektu, tādējādi samazinot SEG emisijas 69,13 tūkst. t CO</w:t>
      </w:r>
      <w:r w:rsidR="00000000" w:rsidRPr="00000000" w:rsidDel="00000000">
        <w:rPr>
          <w:vertAlign w:val="sub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5. un 23.punkts</w:t>
      </w:r>
      <w:r w:rsidR="00000000" w:rsidRPr="00000000" w:rsidDel="00000000">
        <w:rPr>
          <w:rtl w:val="0"/>
        </w:rPr>
        <w:t xml:space="preserve">, pagarinot konkursa ietvaros apstiprināto aktivitāšu īstenošanas termiņu no 2024.gada 31.decembra uz 2029.gada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noteikumi Nr.150 tiek papildināti ar 16.1.</w:t>
      </w:r>
      <w:r w:rsidR="00000000" w:rsidRPr="00000000" w:rsidDel="00000000">
        <w:rPr>
          <w:u w:val="single"/>
          <w:vertAlign w:val="superscript"/>
          <w:rtl w:val="0"/>
        </w:rPr>
        <w:t xml:space="preserve">1</w:t>
      </w:r>
      <w:r w:rsidR="00000000" w:rsidRPr="00000000" w:rsidDel="00000000">
        <w:rPr>
          <w:u w:val="single"/>
          <w:rtl w:val="0"/>
        </w:rPr>
        <w:t xml:space="preserve"> apakšpunktu</w:t>
      </w:r>
      <w:r w:rsidR="00000000" w:rsidRPr="00000000" w:rsidDel="00000000">
        <w:rPr>
          <w:rtl w:val="0"/>
        </w:rPr>
        <w:t xml:space="preserve">, paredzot iespēju dzīvojamajā mājā vai daudzdzīvokļu mājā uzstādīt saules kolektoru sistēmu ar akumulācijas tvertnes tilpumu līdz 300 l ar nosacījumu, ka šo iekārtu saražotais siltumenerģijas apjoms jāizmanto tikai karstā ūdens sagatavošanai un izmantošanai pašpatēriņam. Šādā gadījumā nav nepieciešama esošā fosilos energoresursus izmantojoša apkures katla nomaiņa. Saules kolektoru primārais mērķis ir karstā ūdens ražošana mājsaimniecības pašpatēriņa vajadzībām, t.i., tas galvenokārt ir iespējams un nepieciešams vasaras mēnešos. Prakse rāda, karstā ūdens sagatavošanai vasaras mēnešos primāri tiek izmantota elektroenerģija (boileris), jo apkures iekārtu izmantošana tiek ierobežota. Tādējādi šāds risinājums ļauj samazināt gan maksājumus par patērēto elektroenerģiju, gan palielināt atjaunīgo energoresursu lomu enerģijas patēriņā.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16.3., 19.1. un 24.2.apakšpunkts un 53.punkts</w:t>
      </w:r>
      <w:r w:rsidR="00000000" w:rsidRPr="00000000" w:rsidDel="00000000">
        <w:rPr>
          <w:rtl w:val="0"/>
        </w:rPr>
        <w:t xml:space="preserve">, ņemot vērā jauno aktivitāti (16.1.</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16.6.apakšpunkts</w:t>
      </w:r>
      <w:r w:rsidR="00000000" w:rsidRPr="00000000" w:rsidDel="00000000">
        <w:rPr>
          <w:rtl w:val="0"/>
        </w:rPr>
        <w:t xml:space="preserve">, lai rastu iespēju sniegt atbalstu elektroenerģijas uzglabāšanas iekārtu iegādei tām mājsaimniecībām, kuras pēc 2022.gada 9.marta ir iegādājušās un uzstādījušas saules elektrostacijas vai vēja elektrostacijas.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16.</w:t>
      </w:r>
      <w:r w:rsidR="00000000" w:rsidRPr="00000000" w:rsidDel="00000000">
        <w:rPr>
          <w:u w:val="single"/>
          <w:vertAlign w:val="superscript"/>
          <w:rtl w:val="0"/>
        </w:rPr>
        <w:t xml:space="preserve">10</w:t>
      </w:r>
      <w:r w:rsidR="00000000" w:rsidRPr="00000000" w:rsidDel="00000000">
        <w:rPr>
          <w:u w:val="single"/>
          <w:rtl w:val="0"/>
        </w:rPr>
        <w:t xml:space="preserve">, 16.</w:t>
      </w:r>
      <w:r w:rsidR="00000000" w:rsidRPr="00000000" w:rsidDel="00000000">
        <w:rPr>
          <w:u w:val="single"/>
          <w:vertAlign w:val="superscript"/>
          <w:rtl w:val="0"/>
        </w:rPr>
        <w:t xml:space="preserve">11</w:t>
      </w:r>
      <w:r w:rsidR="00000000" w:rsidRPr="00000000" w:rsidDel="00000000">
        <w:rPr>
          <w:u w:val="single"/>
          <w:rtl w:val="0"/>
        </w:rPr>
        <w:t xml:space="preserve">, 16.</w:t>
      </w:r>
      <w:r w:rsidR="00000000" w:rsidRPr="00000000" w:rsidDel="00000000">
        <w:rPr>
          <w:u w:val="single"/>
          <w:vertAlign w:val="superscript"/>
          <w:rtl w:val="0"/>
        </w:rPr>
        <w:t xml:space="preserve">12</w:t>
      </w:r>
      <w:r w:rsidR="00000000" w:rsidRPr="00000000" w:rsidDel="00000000">
        <w:rPr>
          <w:u w:val="single"/>
          <w:rtl w:val="0"/>
        </w:rPr>
        <w:t xml:space="preserve"> un 16.</w:t>
      </w:r>
      <w:r w:rsidR="00000000" w:rsidRPr="00000000" w:rsidDel="00000000">
        <w:rPr>
          <w:u w:val="single"/>
          <w:vertAlign w:val="superscript"/>
          <w:rtl w:val="0"/>
        </w:rPr>
        <w:t xml:space="preserve">13</w:t>
      </w:r>
      <w:r w:rsidR="00000000" w:rsidRPr="00000000" w:rsidDel="00000000">
        <w:rPr>
          <w:u w:val="single"/>
          <w:rtl w:val="0"/>
        </w:rPr>
        <w:t xml:space="preserve"> punkts</w:t>
      </w:r>
      <w:r w:rsidR="00000000" w:rsidRPr="00000000" w:rsidDel="00000000">
        <w:rPr>
          <w:rtl w:val="0"/>
        </w:rPr>
        <w:t xml:space="preserve">, saskaņojot terminu lietošanu ar MK noteikumu Nr.150  40.punktu un </w:t>
      </w:r>
      <w:r w:rsidR="00000000" w:rsidRPr="00000000" w:rsidDel="00000000">
        <w:rPr>
          <w:rtl w:val="0"/>
        </w:rPr>
        <w:t xml:space="preserve">Komercdarbības atbalsta kontroles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50.punkts</w:t>
      </w:r>
      <w:r w:rsidR="00000000" w:rsidRPr="00000000" w:rsidDel="00000000">
        <w:rPr>
          <w:rtl w:val="0"/>
        </w:rPr>
        <w:t xml:space="preserve">, paredzot garāku termiņu kādā Klimata un enerģētikas ministrija pārskaita atbalsta summu atbalsta saņēmējam, nomainot pašreizējo septiņu darba dienu termiņu uz 20 darba dienām. Grozījums nepieciešams, ņemot vērā, ka pieprasījumu emisijas kvotu izsolīšanas instrumenta projektu īstenošanai ministrija sagatavo un iesniedz Finanšu ministrijā pēc projekta apstiprināšanas </w:t>
      </w:r>
      <w:r w:rsidR="00000000" w:rsidRPr="00000000" w:rsidDel="00000000">
        <w:rPr>
          <w:u w:val="single"/>
          <w:rtl w:val="0"/>
        </w:rPr>
        <w:t xml:space="preserve">(https://likumi.lv/ta/id/300437-kartiba-kada-veic-gadskarteja-valsts-budzeta-likuma-noteiktas-apropriacijas-izmainas)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52.5.apakšpunkts, kā arī 55., 55.</w:t>
      </w:r>
      <w:r w:rsidR="00000000" w:rsidRPr="00000000" w:rsidDel="00000000">
        <w:rPr>
          <w:u w:val="single"/>
          <w:vertAlign w:val="superscript"/>
          <w:rtl w:val="0"/>
        </w:rPr>
        <w:t xml:space="preserve">1</w:t>
      </w:r>
      <w:r w:rsidR="00000000" w:rsidRPr="00000000" w:rsidDel="00000000">
        <w:rPr>
          <w:u w:val="single"/>
          <w:rtl w:val="0"/>
        </w:rPr>
        <w:t xml:space="preserve"> un 55.</w:t>
      </w:r>
      <w:r w:rsidR="00000000" w:rsidRPr="00000000" w:rsidDel="00000000">
        <w:rPr>
          <w:u w:val="single"/>
          <w:vertAlign w:val="superscript"/>
          <w:rtl w:val="0"/>
        </w:rPr>
        <w:t xml:space="preserve">2</w:t>
      </w:r>
      <w:r w:rsidR="00000000" w:rsidRPr="00000000" w:rsidDel="00000000">
        <w:rPr>
          <w:u w:val="single"/>
          <w:rtl w:val="0"/>
        </w:rPr>
        <w:t xml:space="preserve"> punkts</w:t>
      </w:r>
      <w:r w:rsidR="00000000" w:rsidRPr="00000000" w:rsidDel="00000000">
        <w:rPr>
          <w:rtl w:val="0"/>
        </w:rPr>
        <w:t xml:space="preserve">, precizējot nosacījumus attiecībā uz projektu rezultātu sasniegšanu, t.i. gadījumā, ja atbalsta saņēmējs nenodrošina projekta līgumā noteikto saistību izpildi, tad atgūstamais neattiecināmo līdzekļu apjoms tiek aprēķināts proporcionāli izmantošanas laikam (šāds precizējums ir atbalsta saņēmējam labvēlīgs, jo spēkā esošā kārtība paredz finansējuma atgūšanu 100% apmērā, neatkarīgi no iekārtas izmantošanas ilguma). Uz 2024.gada 17.oktobri neviens atbalsta saņēmējs nav lauzis līgumu par projekta īstenošanu un veicis atbalsta summas atmaksu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neattiecināmo līdzekļu apjomu MK noteikumos Nr.150 tiks iekļauta aprēķinu formula, kas ietvers datus par kopējo projekta monitoringa perioda mēnešu skaitu, mēnešu skaitu, kuros tika nodrošinātas MK noteikumos Nr.150 noteiktās prasības, saņemto atbalsta apjomu, kā arī Eiropas Centrālās bankas refinansēšanas likmi (uz 17.10.2024. - 3,65%).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precizēts MK noteikumu Nr.150  2.pielikums</w:t>
      </w:r>
      <w:r w:rsidR="00000000" w:rsidRPr="00000000" w:rsidDel="00000000">
        <w:rPr>
          <w:rtl w:val="0"/>
        </w:rPr>
        <w:t xml:space="preserve">, precizējot tā 4.sadaļu saistībā ar MK noteikumu Nr.150 papildinājumu ar 16.1.</w:t>
      </w:r>
      <w:r w:rsidR="00000000" w:rsidRPr="00000000" w:rsidDel="00000000">
        <w:rPr>
          <w:vertAlign w:val="superscript"/>
          <w:rtl w:val="0"/>
        </w:rPr>
        <w:t xml:space="preserve">1</w:t>
      </w:r>
      <w:r w:rsidR="00000000" w:rsidRPr="00000000" w:rsidDel="00000000">
        <w:rPr>
          <w:rtl w:val="0"/>
        </w:rPr>
        <w:t xml:space="preserve"> apakšpunktu, savukārt precizējumi MK noteikumu 1.pielikuma 5.sadaļā nepieciešami, lai savstarpēji salāgotu nosacījumu izpildi.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palielināsies projekta iesniegumu iesniedzēju loks, kas varēs īstenot konkursa ietvaros atbalstāmās aktivitātes attiecībā uz atjaunojamo energoresursu iekārtu iegādi un pieslēgumu centralizētajai siltumapgādes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loks uzņēmumiem, kas nodrošina atjaunojamo energoresursu iekārtu ražošanu, piegādi, uzstādīšanu un apkopi, kā arī sabiedriskajiem siltumapgādes pakalpojumu sniedzējiem, kas nodrošina centralizētās siltumapgādes pakalpojumu sniegšanu, tādējādi palielinot centralizētās siltumapgādes sistēmas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SIA "Vides investīciju fonds" palielināsies konkursa ietvaros iesniegto projektu iesniegumu vērtēšanas apjoms un lēmuma pieņemšanas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loks uzņēmumiem, kas nodrošina atjaunojamo energoresursu iekārtu ražošanu, piegādi, uzstādīšanu un apkopi, kā arī sabiedriskajiem siltumapgādes pakalpojumu sniedzējiem, kas nodrošina centralizētās siltumapgādes pakalpojumu sniegšanu, tādējādi palielinot centralizētās siltumapgādes sistēmas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ietekmēs uzņēmējdarbības vidi, proti, tirgū palielināsies pieprasījums pēc atjaunojamo energoresursu iekārtām, kā arī pēc centralizētās siltumapgādes sistēmas modernizācijas - siltummezgla projektēšanas un ierīkošanas.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ietekmēs mazos un vidējos uzņēmumus, kas nodarbojas ar atjaunojamo energoresursu iekārtu ražošanu, piegādi, uzstādīšanu, apkopi un uzturēšanu un, kas nodarbojas ar centralizētās siltumapgādes sistēmas siltummezgla projektēšanu un pieslēguma ierīkošanu.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veicinās konkurenci uzņēmumu starpā, kas nodarbojas ar atjaunojamo energoresursu iekārtu ražošanu, piegādi, uzstādīšanu, apkopi un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 vietu veidošanās, kas saistītas ar atjaunojamo energoresursu iekārtu ražošanu, piegādi, uzstādīšanu un apkopi, kā arī centralizētās siltumapgādes sistēmas siltummezgla projektēšanu un ierīkošanu.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ietvaros konkursā pieejamais finansējums tiek palielināts par 40 000 000 </w:t>
            </w:r>
            <w:r w:rsidR="00000000" w:rsidRPr="00000000" w:rsidDel="00000000">
              <w:rPr>
                <w:sz w:val="24"/>
                <w:i w:val="1"/>
                <w:rtl w:val="0"/>
              </w:rPr>
              <w:t xml:space="preserve">euro</w:t>
            </w:r>
            <w:r w:rsidR="00000000" w:rsidRPr="00000000" w:rsidDel="00000000">
              <w:rPr>
                <w:sz w:val="24"/>
                <w:rtl w:val="0"/>
              </w:rPr>
              <w:t xml:space="preserve">, līdz ar to konkursā pieejamais finansējums ir 85 000 000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periodā no 2022. gada līdz  2024. gada oktobrim EKII konkursa ietvaros apgūts finansējums 40 milj. </w:t>
            </w:r>
            <w:r w:rsidR="00000000" w:rsidRPr="00000000" w:rsidDel="00000000">
              <w:rPr>
                <w:sz w:val="24"/>
                <w:i w:val="1"/>
                <w:rtl w:val="0"/>
              </w:rPr>
              <w:t xml:space="preserve">euro </w:t>
            </w:r>
            <w:r w:rsidR="00000000" w:rsidRPr="00000000" w:rsidDel="00000000">
              <w:rPr>
                <w:sz w:val="24"/>
                <w:rtl w:val="0"/>
              </w:rPr>
              <w:t xml:space="preserve">apmērā. Indikatīvi 2024. gadā vēl tiks apgūts finansējums 5 milj. </w:t>
            </w:r>
            <w:r w:rsidR="00000000" w:rsidRPr="00000000" w:rsidDel="00000000">
              <w:rPr>
                <w:sz w:val="24"/>
                <w:i w:val="1"/>
                <w:rtl w:val="0"/>
              </w:rPr>
              <w:t xml:space="preserve">euro </w:t>
            </w:r>
            <w:r w:rsidR="00000000" w:rsidRPr="00000000" w:rsidDel="00000000">
              <w:rPr>
                <w:sz w:val="24"/>
                <w:rtl w:val="0"/>
              </w:rPr>
              <w:t xml:space="preserve">(neskaitot plānoto papildinājumu 40 milj. </w:t>
            </w:r>
            <w:r w:rsidR="00000000" w:rsidRPr="00000000" w:rsidDel="00000000">
              <w:rPr>
                <w:sz w:val="24"/>
                <w:i w:val="1"/>
                <w:rtl w:val="0"/>
              </w:rPr>
              <w:t xml:space="preserve">euro</w:t>
            </w:r>
            <w:r w:rsidR="00000000" w:rsidRPr="00000000" w:rsidDel="00000000">
              <w:rPr>
                <w:sz w:val="24"/>
                <w:rtl w:val="0"/>
              </w:rPr>
              <w:t xml:space="preserve">) apmērā. Ņemot vērā, ka  konkursa ietvaros apstiprināto aktivitāšu īstenošanas termiņš tiks pagarināts līdz 2029. gada 31. decembrim, plānots, ka laika periodā no 2025. gada līdz 2029. gadam ikgadēji tiks izmaksāts finansējums 8 milj.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plānots KEM programmas „Emisijas kvotu izsoļu ieņēmumu instrumenti” (33.00.00) apakšprogrammā „Emisijas kvotu izsolīšanas instrumenta projekti” (33.02.00). EKII finansējumu konkursa projektu īstenošanai pēc to apstiprināšanas plānots pieprasīt normatīvajos aktos noteiktajā kārtībā no valsts budžeta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projektu īstenošanai KEM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programmas termiņš ir š.g. 31.decembris, kā arī no iedzīvotājiem ir augsta interese par elektromobiļu un ārēji la'dējamu hibrīdauto iegādi, ir steidzami nepieciešams veikt grozījumus MK noteikumos Nr.896. Tādējādi tiks nodorošināta atbalsta programmas ilgtspēja, t.i. sniegta iespēja iedzīvotājiem iegādāties videi draudzīgus transportlīdzekļus arī turpmākos gadus.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publicējot MK noteikumu projektu Vienotajā tiesību aktu projektu izstrādes un saskaņošanas portālā, nodrošinot iespēju sabiedrībai sniegt par to viedokli.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Uzdevumus, kas saistīti ar projektu iesniegumu pieņemšanu, vērtēšanu, apstiprināšanu un finanšu instrumenta finansējuma piešķiršanu, kā arī par līgumu par projekta īstenošanu  sagatavošanu, noslēgšanu, grozīšanu un laušanu, projektu pārskatu pārbaudi un projektu īstenošanas kontroli, turpinās veikt SIA “Vides investīciju fonds”.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 izmaksas par uzdevumiem, kas saistīti ar projektu iesniegumu pieņemšanu, vērtēšanu, apstiprināšanu un finanšu instrumenta finansējuma piešķiršanu, kā arī par līgumu par projekta īstenošanu  sagatavošanu, noslēgšanu, grozīšanu un laušanu, projektu pārskatu pārbaudi un projektu īstenošanas kontroli tiks segtas valsts budžeta programmas 33.01.00. "Emisijas kvotu izsolīšanas instrumenta administrācija"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MK noteikumu projektā plānotās aktivitātes tiks veicināta Nacionālajā attīstības plānā 2021.-2027.gadam šādu progresa indikatoru sasniegšana: [271] Siltumnīcefekta gāzu (SEG) emisiju intensitāte, [273] Gaisa piesārņojuma % samazinājums (izņemot, sniedzot atbalstu biomasas dedzināšanai) un [309] No atjaunojamiem energoresursiem (AER) saražotās enerģijas īpatsvars kopējā enerģijas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nodrošināta tādu projektu īstenošana, kas veicina atjaunīgo energoresursu iekārtu izmantošanu un pieslēgšanos centralizētajai siltumapgādes sistēmai, tādejādi nepasliktinot gaisa kvalitāti, it īpaši pilsētās, un negatīvi neietekmējot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atbalstīta neefektīvu biomasas apkures katlu iegāde un uzstādīšana, kā arī konkursa ietvaros ir atbalstāma biomasas iekārtu iegāde vienlaikus ar citu atjaunīgo energoresursu iekārtu iegādi.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nodrošinās daudz plašāku atjaunīgo energoresursu iekārtu izmantošanu mājsaimniecībās vai mājsaimniecību pieslēgšanos centralizētajai siltumapgādes sistēmai, tādējādi samazinot radītās siltumnīcefekta gāzu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24-TA-2506</w:t>
    </w:r>
    <w:r>
      <w:br/>
    </w:r>
    <w:r w:rsidR="00000000" w:rsidRPr="00000000" w:rsidDel="00000000">
      <w:rPr>
        <w:rtl w:val="0"/>
      </w:rPr>
      <w:t xml:space="preserve">Izdrukāts 29.07.2026. 23.40 - 1.0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24-TA-2506</w:t>
    </w:r>
    <w:r>
      <w:br/>
    </w:r>
    <w:r w:rsidR="00000000" w:rsidRPr="00000000" w:rsidDel="00000000">
      <w:rPr>
        <w:rtl w:val="0"/>
      </w:rPr>
      <w:t xml:space="preserve">Izdrukāts 29.07.2026. 23.40 - 1.0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anotācija_(ex_ante)_24-TA-2506.docx</dc:title>
</cp:coreProperties>
</file>

<file path=docProps/custom.xml><?xml version="1.0" encoding="utf-8"?>
<Properties xmlns="http://schemas.openxmlformats.org/officeDocument/2006/custom-properties" xmlns:vt="http://schemas.openxmlformats.org/officeDocument/2006/docPropsVTypes"/>
</file>