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izstrāde ir Satiksmes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tiek veikti normu skaidrības nolūkā, pēc būtības nemainot attiecināmo izmaksu veidu un apmēru. Tie ir labvēlīgāki finansējuma saņēmējiem, radīs tiesisko noteiktību un mazinās dažādas interpretācijas iespējas nacionālajā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Ministru kabineta noteikumu nosacījumiem, Centrālā finanšu un līgumu aģentūra, kura veic 2.4.1.2.i. investīcijas atbalsta jeb komercdarbības atbalsta sniedzējinstitūcijas funkcijas, pēc divām </w:t>
      </w:r>
      <w:r w:rsidR="00000000" w:rsidRPr="00000000" w:rsidDel="00000000">
        <w:rPr>
          <w:i w:val="1"/>
          <w:rtl w:val="0"/>
        </w:rPr>
        <w:t xml:space="preserve">"2.4.1.2.i. investīcijas "Platjoslas jeb ļoti augstas veiktspējas tīklu "pēdējās jūdzes" infrastruktūras attīstība"" </w:t>
      </w:r>
      <w:r w:rsidR="00000000" w:rsidRPr="00000000" w:rsidDel="00000000">
        <w:rPr>
          <w:rtl w:val="0"/>
        </w:rPr>
        <w:t xml:space="preserve">(turpmāk - 2.4.1.2.i. investīcija) atklātām projektu iesniegumu atlasēm, 2024. gada oktobrī ir noslēgusi piecus līgumus ar elektronisko sakaru komersantiem, atbilstoši par katru no pieciem plānošanas reģioniem un ir uzsākta projektu īstenošana. 2.4.1.2.i. investīcijas nozares ministrijas funkcijas veic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2.4.1.2.i. investīcijas</w:t>
      </w:r>
      <w:r w:rsidR="00000000" w:rsidRPr="00000000" w:rsidDel="00000000">
        <w:rPr>
          <w:i w:val="1"/>
          <w:rtl w:val="0"/>
        </w:rPr>
        <w:t xml:space="preserve"> </w:t>
      </w:r>
      <w:r w:rsidR="00000000" w:rsidRPr="00000000" w:rsidDel="00000000">
        <w:rPr>
          <w:rtl w:val="0"/>
        </w:rPr>
        <w:t xml:space="preserve">īstenošanas laikā tika konstatēts, ka Ministru kabineta 2023. gada 12.decembra noteikumu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noteikumi"(turpmāk – MK noteikumi Nr. 753) 17. punktu par attiecināmām izmaksām un par nosacījumiem finansējuma saņēmējam vai sadarbības partnera speciālistam var interpretēt neviennozīmīgi: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elektronisko sakaru komersants pats veic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 veida darbu veikšanai ir nepieciešami speciālisti ar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var attiecināt būvniecības speciālistu darbu, kuriem nav nepieciešami sertifikāti saskaņā ar būvniecības regulējumu. Papildus secināts, ka ne visos gadījumos darbu veikšanai ir nepieciešama reģistrācija Būvniecības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jautājumu, attiecīgi ir izdalītas normas, lai finansējuma saņēmējs vai sadarbības partneris atbilstoši normatīvajiem aktiem būvniecības jomā būtu reģistrēts Būvniecības informācijas sistēmā kā būvkomersants attiecīgajā specialitātē un darbības sfērā, kurā veikti attiecīgie darbi, un darbu veicēji ir sertificēti atbilstoši normatīvajiem aktiem būvniecības jomā attiecīgajā darbības sfērā, ja to nosaka normatīvie akti būvniecības jomā, kas attiecas uz šo noteikumu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augstas veiktspējas tīkla pasīvās infrastruktūras (piemēram, kabeļu kanalizācijas cauruļu, kanālu, stabu, mastu, tumšās optiskās šķiedras kabeļu, sadales skapju, lūku) būvniecības izmaksas (noteikumu 15.1.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augstas veiktspējas tīkla projektēšanas izmaksas (noteikumu 15.3.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augstas veiktspējas tīkla autoruzraudzības izmaksas (noteikumu 15.4.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elektroapgādes sadales sistēmas operatora pieslēguma izveides izmaksas (noteikumu 15.6.apakšpunkts) ļoti augstas veiktspējas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ir pietiekami, ja šo darbu veicēji ir finansējuma saņēmēja vai sadarbības partnera speciālisti, tostarp tādi, kuri ir sertificēti attiecīgajā darbības sfērā, ja to paredz normatīvie akti, kas attiecas uz šo noteikumu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augstas veiktspējas tīkla aktīvās infrastruktūras (piemēram, maršrutētāju un komutatoru, radio bāzes staciju, vadības un pārvaldības serveru) ierīkošanas izmaksas (noteikumu 15.2.apakšpunkts);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augstas veiktspējas tīkla ekspertīžu un izpētes izmaksas (noteikumu 15.5.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augstas veiktspējas tīkla testēšanas un mērījumu veikšanas izmaksas un pieņemšanai ekspluatācijā nepieciešamās dokumentācijas izstrādes izmaksām (noteikumu 15.8.apakšpunkts);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augstas veiktspējas tīkla darbības un piekļuves kontroles iekārtu uzstādīšanas izmaksas (noteikumu 15.9.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nebūs nepieciešams veikt grozījumus līgumos par investīciju projekta īstenošanu, un tie neietekmē darbības veidu, mērķus vai īstenošanas nosacījumus, tādējādi tie netraucē sākotnējo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753 anotācijā par noteikumu 13. punktā noteikto ir iekļaujams papildu skaidrojums tiesiskās noteiktības nolūkos, lai neradītu lieku administratīvo slogu, ievērojot šo noteikumu 13.1. apakšpunktā minēto, ierobežojuma kontrole var tikt veikta būvniecības līguma izpildes beigās, pārbaudot, vai vidējās aritmētiskās izmaksas uz vienu piekļuves punktu nepārsniedz 2661 EUR. MK noteikumu Nr. 753 13. punkts nosaka: “13. 2.4.1.2.i. investīcijas projekta īstenošanas laikā finansējuma saņēmējs, par kura projektu ir atbalsta sniedzēja lēmums par projekta apstiprināšanu vai atzinums par nosacījumu izpildi,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starpposma maksājumus atbilstoši faktiskajām izmaksām uz katru mājsaimniecību vai uzņēmumu, izglītības iestādi, ārstniecības iestādi un citu sabiedrisko ēku (adresi), kam nodrošināta piekļuve ļoti augstas veiktspējas tīklam, bet nepārsniedzot 2661 EUR uz adresi, tas ir, proporcionāli sasniegtajam šo noteikumu 9.2. apakšpunktā minētajam investīcijas mērķrādītājam. Starpposma maksājumu kopsumma nevar pārsniegt 90 % no kopējā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Nr. 753 anotācijā ir minēts, ka finansējuma saņēmējam maksās pēc atbilstoši faktiskajām izmaksām, bet nepārsniedzot 2661 EUR uz vienu mājsaimniecību vai uzņēmumu, izglītības iestādi, ārstniecības iestāžu un citu sabiedrisko ēku (adrese), kam nodrošināta piekļuve ļoti augstas veiktspējas tīklam.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jautājumu par MK noteikumu Nr. 753 13. punktā noteikto papildu skaidrojumu, nav nepieciešamas izmaiņas MK noteikumos Nr. 753, jo pašreizējā norma nav pretrunā šajā anotācijā minētajam skaidrojumam.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753 12. punktā 2.4.1.2.i. investīcijai pieejamā Atveseļošanas fonda finansējuma (turpmāk – ANM) “pēdējās jūdzes” projektiem ir izveidojies atlikums 264 231 EUR, jo līgumi par projektu īstenošanu apstiprināti par mazākām summām, plānoto, definēto un aptveramo rādītāju sasniegšanai. To nav iespējams novirzīt esošajiem projektiem, ņemot vērā, ka tas laika ziņā nav iespējams tā kā atbilstoši komercdarbības atbalsta regulējumam būtu jānodrošina vairākas secīgas darbības - komercdarbības atbalsta paziņojuma grozījums par atbalsta piešķiršanas termiņu, jaunas atlases izsludināšana, projektu vērtēšana, projekta īstenošana. Turklāt Satiksmes ministrijas atbildībā nav citu investīciju digitālajā jomā, kur būtu iespējams novirzīt atlikumu.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MK noteikumos Nr. 753 12. punktā pieejamo ANM finansējuma 16 500 000 EUR izlietojumu to mērķim un būtu iespējams novirzīt ANM 2.4.1.2.i. investīcijas “pēdējās jūdzes” projektos izveidojušos atlikumu 264 231 EUR citiem digitālās transformācijas projektiem, ir nepieciešams attiecīgi koriģēt plānoto finansējumu atbilstoši faktiski noslēgtajiem līgumiem par projektu īstenošanu. Prioritāri finansējums 251 340 EUR novirzāms 2.1.1.1.i. investīcijas “Pārvaldes modernizācija un pakalpojumu digitālā transformācija, tai skaitā uzņēmējdarbības vide” projektam Nr. 2.1.1.1.i.0/1/23/I/VARAM/001 “Pārrobežu sadarbību nodokļu jomā veicinošu digitālo pakalpojumu attīstība” īstenošanu”, ko īsteno Valsts ieņēmuma dienests un kam ir būtiska ietekme uz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Veicamās izmaiņas ANM 16 500 000 EUR finansējuma izlietojumā, novirzot ANM 2.4.1.2.i. investīcijas “pēdējās jūdzes” projektos izveidojušos atlikumu 264 231 EUR citiem digitālās transformācijas projektiem,  neietekmēs 2.4.1.2.i. investīcijas apstiprināto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nebūs nepieciešams veikt grozījumus līgumos par investīciju projekta īstenošanu, un tie neietekmē darbības veidu, mērķus vai īstenošanas nosacījumus, tādējādi tie netraucē sākotnējo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regulas Nr.651/2014 1.panta 4. punkta un 2.panta 18.punkta noteiktais, kas attiecas uz uzņēmumu, ir jāvērtē/jāpiemēro uzņēmuma grupas līmenī (Komisijas regulas Nr.651/2014 angliskajā versijā nosacījumi, kas ir attiecināmi uz ‘undertaking’, ir jāpārbauda/jāpiemēro uzņēmuma grupas līmenī), attiecīgi ir jāprecizē noteikumu 40. un 42. punkts par uzņēmumu kā, tai skaitā uzņēmuma  grupas līmenī un sadarbības partneru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753 40. un 42. punkts, pievienojot atsauci, ka nosacījumi attiecināmi uzņēmuma grupas līmenī un sadarbības partneru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septembrī stājusies spēkā Eiropas Parlamenta un Padomes 2024. gada 23.septembra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atsauci noteikumu Nr. 753 43.1. apakšpunktā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Noteikumu Nr.753 43.1. punkta labojumu uz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(pārstrādāta redakcija), 138. pantā noteiktie izslēgšanas kritēriji;"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Secināts, ka grozījumu veikšana ir nepieciešama, lai neradītu riskus saistībā ar investīcijas 2.4.1.2.i. 16 235 769 EUR investīciju īstenošanu.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tikai uz elektronisko sakaru komersantiem, kuri ir izvēlēti par Investīcijas projektu īstenotājiem, palielinot tiesisko noteiktību projektu īstenošanā.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2.4.1.2.i. investīcijas palīdzību izveidotā infrastruktūra tiks izmantota Eiropas Savienības stratēģiskajos dokumentos noteiktajiem mērķiem atbilstošu elektronisko sakaru pakalpojumu pieejamības palielināšanai.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517 892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8 323 267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7 392 137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517 892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8 323 267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7 392 137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517 892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8 323 267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7 392 137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517 892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8 323 267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7 392 137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2.4.1.2.i. investīcijā plānoti izdevumi 16 235 769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pirmais maksājums tika veikts 2024.gada decembrī 2 472.16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ņemot vērā noteiktos termiņus likumprojekta “Par valsts budžetu 2025. gadam un budžeta ietvaru 2025., 2026. un 2027. gadam” sagatavošanai, 2025.gadam 2.4.1.2.i. investīcijai sākotnēji netika ieplānots finansējums Centrālās finanšu un līgumu aģentūras (turpmāk – CFLA)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kopumā 2025.gadā plānoti maksājumi indikatīvi 8 841 159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- 2025.gadā veikti maksājumi  517 891.71 EUR apmērā, un finansējums šiem maksājumiem tika nodrošināts, veicot CFLA budžetā iekšējo pārdali starp investīcijām, samazinot finansējumu investīcijās, kurās finansējums saskaņā ar valsts budžetu 2025. gadam ieplānots lielākā apmērā kā nepieciešams, ņemot vērā aktuālās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attiecīgi no 80.00.00. programmas tiks pieprasīti vēl 8 323 267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par 2026.gadu – 2025.gada aprīlī, atsaucoties uz Finanšu ministrijas 2025. gada 12. maija vēstuli par informācijas iesniegšanu FM valsts pamatbudžeta bāzes projekta sagatavošanai 2026., 2027., 2028. un 2029. gadam par valsts pamatbudžeta bāzes aprēķinu 2026., 2027., 2028. un 2029. gadam, ir sagatavots aprēķins par nepieciešamo finansējumu 7 392 137 EUR apmērā maksājumiem 2.4.1.2.i. investīcijā.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ieņēmumi kopā ir 16 500 000 EUR. ANM ietvaros Eiropas Komisija finansējumu piešķirs un veiks atmaksu pēc rezultātu sasniegšanas 2.4.1.2.i investīcijā.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līgumi par projektu īstenošanu apstiprināti par 16 235 769 EUR</w:t>
      </w:r>
      <w:r w:rsidR="00000000" w:rsidRPr="00000000" w:rsidDel="00000000">
        <w:rPr>
          <w:i w:val="1"/>
          <w:rtl w:val="0"/>
        </w:rPr>
        <w:t xml:space="preserve">, </w:t>
      </w:r>
      <w:r w:rsidR="00000000" w:rsidRPr="00000000" w:rsidDel="00000000">
        <w:rPr>
          <w:rtl w:val="0"/>
        </w:rPr>
        <w:t xml:space="preserve">līdz ar to ir izveidojies atlikums 264 231 EUR, ko būtu iespējams novirzīt citiem pasākumiem. Prioritāri finansējums 251 340 EUR novirzāms 2.1.1.1.i. investīcijas “Pārvaldes modernizācija un pakalpojumu digitālā transformācija, tai skaitā uzņēmējdarbības vide” projektam Nr. 2.1.1.1.i.0/1/23/I/VARAM/001 “Pārrobežu sadarbību nodokļu jomā veicinošu digitālo pakalpojumu attīstība” īstenošanu”, ko īsteno Valsts ieņēmuma dienests un kam ir būtiska ietekme uz uzņēmējdarbību.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(turpmāk - Noteikumi Nr.435).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sadaļā "1.3. Pašreizējā situācija, problēmas un risinājumi" ir iekļauts risinājums atbrīvoto finansējumu pārcelt uz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projektu Nr. 2.1.1.1.i.0/1/23/I/VARAM/001 “Pārrobežu sadarbību nodokļu jomā veicinošu digitālo pakalpojumu attīstība”. Minētās izmaiņas ietekmē Noteikumu Nr.435 6.1.punktā noteiktā 2.1.1.1. investīcijas finansējuma apjomu.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Regula (ES) Nr. 651/2014 (2014. gada 17. jūnijs),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(pārstrādāta redakcija), 138.pantā noteiktie izslēgšanas kritēriji.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Regula (ES) Nr. 651/2014 (2014. gada 17. jūnijs),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Nr.753 15. un 17.</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2024/2509 par finanšu noteikumiem, ko piemēro Savienības vispārējam budžetam (pārstrādāta redakcija), 138.pantā noteiktie izslēgšanas kritēriji.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15.oktobra noteikumu Nr. 639  "Sabiedrības līdzdalības kārtība attīstības plānošanas procesā" 5. 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labvēlīgāki finansējuma saņēmējiem, radīs tiesisko noteiktību un mazinās interpretācijas iespējas nacionālajā līmenī. Laicīgi negrozot šos Ministru kabineta noteikumus, pastāv risks, ka projektu īstenotājs nebūs spējīgs nodrošināt izvirzītos nosacījumus un tiks zaudēts 2.4.1.2.i. investīcijai pieejamais ANM finansējums 16 500 000 EUR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Izbūvētā infrastruktūra nodrošinās ļoti augstas veiktspējas tīklu un pakalpojumu pieejamību galalietotājiem, kas palielinās pieprasījumu pēc publiskiem pakalpojumiem, tādējādi veicinot to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Izbūvētā infrastruktūra nodrošinās ļoti augstas veiktspējas tīklu un pakalpojumu pieejamību galalietotājiem, kā rezultātā būs iespēja izmantot jauno tehnoloģiju piedāvātās iespējas (nodrošinot jaudīgus liela ātruma interneta pieslēgumus).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veicinās informācijas sabiedrības politikas īstenošanas mērķi, proti, paaugstinās iedzīvotāju īpatsvaru, kam būs iespēja lietot IKT un pieejamos e-pakalpojumus.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2.4.1.2.i. investīciju tiks sekmēta Nacionālā attīstības plāna 315.uzdevuma ''Eiropas Savienības savienojamības mērķiem atbilstoša platjoslas elektronisko sakaru tīkla izveidošana, attīstot ''vidējās jūdzes'' un ''pēdējās jūdzes'' elektronisko sakaru tīklu infrastruktūru un izveidojot platjoslas kartēšanu'' izpilde.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2.4.1.2.i. investīcijas veicinās teritoriju attīstību, ņemot vērā, ka piekļuve ļoti augstas veiktspējas tīklam ir būtisks priekšnosacījums esošo uzņēmumu attīstībai un jaunu uzņēmumu veidošanai, kā arī var piesaistīt cilvēkus, kuriem darba specifika ļauj strādāt no mājām.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būtiski sekmē klimata pārmaiņu mazināšanas mērķi saskaņā ar Taksonomijas regulas 10.panta 1. daļas c apakšpunktā minēto darbību ''Palielināt videi nekaitīgu vai klimatneitrālu mobilitāti'' sasniegšanu, ko atbalsta infrastruktūras ieguldījumi platjoslas infrastruktūras izveidē, kas nodrošina pakalpojumu saņemšanu e-vidē.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būtiski sekmē klimata pārmaiņu mazināšanas mērķi saskaņā ar Taksonomijas regulas[1] 10.panta 1. daļas c apakšpunktā minēto darbību ''Palielināt videi nekaitīgu vai klimatneitrālu mobilitāti'' sasniegšanu, ko atbalsta infrastruktūras ieguldījumi platjoslas infrastruktūras izveidē, kas nodrošina pakalpojumu saņemšanu e-vidē.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(NBK) investīcijas 2.4.1.2.i. novērtējumā [2] norādīts, ka nav tikusi konstatēta negatīva ietekme uz vidi. Finansējuma saņēmēja un projekta īstenotāja pienākums ir izvērtēt un nodrošināt, ka visi NBK nosacījumi tiek ievēroti.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2020/852 (2020. gada 18. jūnijs) par regulējuma izveidi ilgtspējīgu ieguldījumu veicināšanai un ar ko groza Regulu (ES) 2019/2088, pieejama šeit: https://eur-lex.europa.eu/legal-content/LV/TXT/?uri=uriserv%3AOJ.L_.2020.198.01.0013.01.LAV&amp;toc=OJ%3AL%3A2020%3A198%3AFULL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un noturības mehānisma plāns 2021.-2026. gadam, 1.pielikums, Nenodarīt būtisku kaitējumu, pieejams šeit: https://www.esfondi.lv/upload/anm/02_anm_plana_pielikums_nr.1_dnsh_18052021.pdf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25-TA-827</w:t>
    </w:r>
    <w:r>
      <w:br/>
    </w:r>
    <w:r w:rsidR="00000000" w:rsidRPr="00000000" w:rsidDel="00000000">
      <w:rPr>
        <w:rtl w:val="0"/>
      </w:rPr>
      <w:t xml:space="preserve">Izdrukāts 29.07.2026. 23.53 - 7.0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25-TA-827</w:t>
    </w:r>
    <w:r>
      <w:br/>
    </w:r>
    <w:r w:rsidR="00000000" w:rsidRPr="00000000" w:rsidDel="00000000">
      <w:rPr>
        <w:rtl w:val="0"/>
      </w:rPr>
      <w:t xml:space="preserve">Izdrukāts 29.07.2026. 23.53 - 7.0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anotācija_(ex_ante)_25-TA-827.docx</dc:title>
</cp:coreProperties>
</file>

<file path=docProps/custom.xml><?xml version="1.0" encoding="utf-8"?>
<Properties xmlns="http://schemas.openxmlformats.org/officeDocument/2006/custom-properties" xmlns:vt="http://schemas.openxmlformats.org/officeDocument/2006/docPropsVTypes"/>
</file>