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dividendēs izmaksājamo valsts sabiedrības ar ierobežotu atbildību "Daugavpils teātris" peļņas daļu"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pēc valsts kapitāla daļu turētāja pamatota priekšlikuma ar Ministru kabineta rīkojumu var atļaut noteikt valsts kapitālsabiedrības stratēģijā atšķirīgu prognozējamo dividendēs izmaksājamo un saņemamo peļņas daļu (procentos no prognozētās pārskata gada peļņas), nekā tas norādīts Ministru kabineta 2022.gada 25.janvāra noteikumu Nr.72 „Kārtība, kādā tiek prognozēti, noteikti un veikti maksājumi par valsts kapitāla izmantošanu” (turpmāk – Noteikumi Nr.72) 3.punktā vai citos tiesību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valsts sabiedrības ar ierobežotu atbildību „Daugavpils teātris” (turpmāk – kapitālsabiedrība) ikgadējās prognozējamās dividendēs izmaksājamās peļņas daļas novirzīšana kapitālsabiedrības plānotajām investīcijām – materiāli tehniskās bāzes uzlabošanai – atbilstoši kapitālsabiedrības vidēja termiņa darbības stratēģijai 2022.-2026.gadam, lai nodrošinātu ilgtermiņa attīstību un augstvērtīgu māksliniecisko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ir valsts kapitālsabiedrība, kurā 100 % kapitāla daļu turētāja ir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vidēja termiņa stratēģijas projektā „Valsts sabiedrības ar ierobežotu atbildību „Daugavpils teātris” vidēja termiņa darbības stratēģija 2022. – 2026.gadam” (turpmāk – Stratēģija) noteiktie finanšu mērķi ir rentabilitāte, biļešu ieņēmumi, pārējie pašu ieņēmumi, peļņa (2021.gadā – 3 276 </w:t>
      </w:r>
      <w:r w:rsidR="00000000" w:rsidRPr="00000000" w:rsidDel="00000000">
        <w:rPr>
          <w:i w:val="1"/>
          <w:rtl w:val="0"/>
        </w:rPr>
        <w:t xml:space="preserve">euro</w:t>
      </w:r>
      <w:r w:rsidR="00000000" w:rsidRPr="00000000" w:rsidDel="00000000">
        <w:rPr>
          <w:rtl w:val="0"/>
        </w:rPr>
        <w:t xml:space="preserve">, 2022.gadā – 5 000 </w:t>
      </w:r>
      <w:r w:rsidR="00000000" w:rsidRPr="00000000" w:rsidDel="00000000">
        <w:rPr>
          <w:i w:val="1"/>
          <w:rtl w:val="0"/>
        </w:rPr>
        <w:t xml:space="preserve">euro</w:t>
      </w:r>
      <w:r w:rsidR="00000000" w:rsidRPr="00000000" w:rsidDel="00000000">
        <w:rPr>
          <w:rtl w:val="0"/>
        </w:rPr>
        <w:t xml:space="preserve">, 2023.gadā – 5 000 </w:t>
      </w:r>
      <w:r w:rsidR="00000000" w:rsidRPr="00000000" w:rsidDel="00000000">
        <w:rPr>
          <w:i w:val="1"/>
          <w:rtl w:val="0"/>
        </w:rPr>
        <w:t xml:space="preserve">euro</w:t>
      </w:r>
      <w:r w:rsidR="00000000" w:rsidRPr="00000000" w:rsidDel="00000000">
        <w:rPr>
          <w:rtl w:val="0"/>
        </w:rPr>
        <w:t xml:space="preserve">, 2024.gadā – 6 300 </w:t>
      </w:r>
      <w:r w:rsidR="00000000" w:rsidRPr="00000000" w:rsidDel="00000000">
        <w:rPr>
          <w:i w:val="1"/>
          <w:rtl w:val="0"/>
        </w:rPr>
        <w:t xml:space="preserve">euro</w:t>
      </w:r>
      <w:r w:rsidR="00000000" w:rsidRPr="00000000" w:rsidDel="00000000">
        <w:rPr>
          <w:rtl w:val="0"/>
        </w:rPr>
        <w:t xml:space="preserve">, 2025.gadā – 6 300 </w:t>
      </w:r>
      <w:r w:rsidR="00000000" w:rsidRPr="00000000" w:rsidDel="00000000">
        <w:rPr>
          <w:i w:val="1"/>
          <w:rtl w:val="0"/>
        </w:rPr>
        <w:t xml:space="preserve">euro</w:t>
      </w:r>
      <w:r w:rsidR="00000000" w:rsidRPr="00000000" w:rsidDel="00000000">
        <w:rPr>
          <w:rtl w:val="0"/>
        </w:rPr>
        <w:t xml:space="preserve">, 2026.gadā – 7 000 </w:t>
      </w:r>
      <w:r w:rsidR="00000000" w:rsidRPr="00000000" w:rsidDel="00000000">
        <w:rPr>
          <w:i w:val="1"/>
          <w:rtl w:val="0"/>
        </w:rPr>
        <w:t xml:space="preserve">euro</w:t>
      </w:r>
      <w:r w:rsidR="00000000" w:rsidRPr="00000000" w:rsidDel="00000000">
        <w:rPr>
          <w:rtl w:val="0"/>
        </w:rPr>
        <w:t xml:space="preserve">) un pašu ieņēmumu īpatsvars pret kopējiem ieņēmumiem (2021.gadā – 8 %, 2022.gadā – 11 %, 2023.gadā – 11 %, 2024.gadā – 12 %, 2025.gadā – 14 %, 2026.gadā – 15 %). Tā kā kapitālsabiedrības darbības primārais mērķis nav peļņas gūšana, bet gan deleģēto valsts pārvaldes uzdevumu veikšana atbilstoši Kultūras institūciju likuma 23.panta otrajai daļai, kapitālsabiedrības ikgadējo prognozējamo dividendēs izmaksājamo peļņas daļu nepieciešams novirzīt kapitālsabiedrības plānotajām investīcijām – materiāli tehniskās bāzes uzlabošanai – atbilstoši Stratēģijai, lai nodrošinātu ilgtermiņa attīstību un augstvērtīgu māksliniecisko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Nr.72 3.1.apakšpunktu minimālā dividendēs izmaksājamā peļņas daļa valsts kapitālsabiedrībām, publiski privātajām kapitālsabiedrībām un publiskas personas kontrolētām kapitālsabiedrībām, kurās valsts ir dalībnieks (akcionārs), ir 64 % no kapitālsabiedrības pārskata gada peļņas, ja atbilstoši Noteikumu Nr.72 II nodaļai kapitālsabiedrības vidēja termiņa darbības stratēģijā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28.panta pirmajā daļā noteikts, ka prognozējamo peļņas daļu, kas izmaksājama dividendēs, un dividendēs izmaksājamo peļņas daļu nosaka, pamatojoties uz kapitālsabiedrības vidēja termiņa darbības stratēģiju, tajā noteiktajiem kapitālsabiedrības mērķiem un to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Nr.72 6.punkts nosaka, ka Ministru kabinets pēc valsts kapitāla daļu turētāja pamatota priekšlikuma ar Ministru kabineta rīkojumu var atļaut noteikt stratēģijā atšķirīgu prognozējamo dividendēs izmaksājamo un saņemamo peļņas daļu (procentos no prognozētās pārskata gada peļņas), nekā tas norādīts Noteikumu Nr.72 3.punktā vai citos tiesību aktos. Noteikumu Nr.72 7.punkts nosaka, ka valsts kapitāla daļu turētājs iesniedz Ministru kabinetā Noteikumu Nr.72 6.punktā minēto Ministru kabineta rīkojuma projektu un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kapitālsabiedrību, pamatojoties uz Kultūras institūciju likuma 23.panta otro daļu, 2021.gada 5.janvārī noslēgts līdzdarbības līgums Nr.2.5-8-13 „Par atsevišķu valsts pārvaldes uzdevumu deleģēšanu kultūras jomā”, saskaņā ar kuru kapitālsabiedrība veic valsts deleģētus pārvaldes uzdevumus kultūras jomā, kuru ietvaros kapitālsabiedrības tiešie uzdevumi paredz iestudēt daudzveidīgas un kvalitatīvas teātra izrādes, latviešu, krievu un latgaliešu valodā, nodrošinot repertuāra plašumu un veicinot jaunradi, nodrošināt profesionālās teātra mākslas pieejamību plašai Latvijas sabiedrībai, primāri – Latgales reģionā, sekmējot kultūras procesa decentralizāciju, kā arī veicinot starpkultūru dialogu un sabiedrības integrāciju, ar teātra izrāžu starpniecību nodrošināt kultūrizglītības iespējas bērnu un jauniešu auditorijai, apgūt starptautisko pieredzi teātra mākslas jomā, veicinot izcilību un nodrošināt kapitālsabiedrības finanšu, tehniskās un tehnoloģiskās darbības efektivitāti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dalībvalstu tiesībām veikt intervences kultūras pakalpojumu tirgū dažādu atbalsta pasākumu veidā (granti, dotācijas, projektu finansējums, nodokļu atvieglojumi), kultūras pakalpojumi ir izņēmums, kas paredzēts gan Līgumā par Eiropas Savienības darbību, gan tiek plaši piemērots Eiropas Savienības dalībvalstu praksē. Līguma par Eiropas Savienības darbību 167.pants paredz, ka „Savienība veicina dalībvalstu kultūru uzplaukumu, respektējot to nacionālās un reģionālās atšķirības un vienlaikus pievēršot uzmanību kopīgajam kultūras mantojumam. (..) Rīkojoties saskaņā ar citiem Līguma noteikumiem, Savienība ņem vērā kultūras aspektus, jo īpaši, lai respektētu un veicinātu kultūru daudzveidību”. Savukārt Līguma par Eiropas Savienības darbību 107.panta 3.punkta d) apakšpunkts nosaka, ka „atbalstu, kas veicina kultūru un kultūras mantojuma saglabāšanu, ja tāds atbalsts neiespaido tirdzniecības nosacījumus un konkurenci Savienībā tiktāl, ka tas ir pretrunā kopīgām interesēm, var uzskatīt par saderīgu ar iekšējo tirgu”. Papildus 2016.gada 19.jūlijā tika pieņemts Eiropas Komisijas paziņojums par Līguma par Eiropas Savienības darbību 107.panta 1.punktā minēto valsts atbalsta jēdzienu (2016/c 262/01) (turpmāk – Paziņojums par valsts atbalsta jēdzienu), tostarp skaidrojot valsts atbalsta nosacījumu piemērošanu atsevišķu nozaru ietvaros, piemēram, kultūrai un kultūrvēsturiskā mantojuma saglabāšanai, dabas aizsardzībai. Saskaņā ar Paziņojuma par valsts atbalsta jēdzienu 33. un 34.punktā noteikto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saistības darbības var būt organizētas nekomerciāli un tādējādi tās ir tādas, kurām nav saimnieciska rakstura, līdz ar to publiskais finansējums, kas tām piešķirts, var nebūt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Eiropas Komisijas skaidrojumā – „</w:t>
      </w:r>
      <w:r w:rsidR="00000000" w:rsidRPr="00000000" w:rsidDel="00000000">
        <w:rPr>
          <w:i w:val="1"/>
          <w:rtl w:val="0"/>
        </w:rPr>
        <w:t xml:space="preserve">daļa no faktiskajām izmaksām</w:t>
      </w:r>
      <w:r w:rsidR="00000000" w:rsidRPr="00000000" w:rsidDel="00000000">
        <w:rPr>
          <w:rtl w:val="0"/>
        </w:rPr>
        <w:t xml:space="preserve">” ir ne vairāk kā 50 % no kopējiem kultūras iestādes izdevumiem (biļešu ieņēmumi, maksas pakalpojumu u.c. pašu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2021.gada darbības rādītājiem kapitālsabiedrības pašu ieņēmumi no saimnieciskās darbības, tai skaitā ieņēmumi no biļešu tirdzniecības, 2021.gadā bija 135 304 </w:t>
      </w:r>
      <w:r w:rsidR="00000000" w:rsidRPr="00000000" w:rsidDel="00000000">
        <w:rPr>
          <w:i w:val="1"/>
          <w:rtl w:val="0"/>
        </w:rPr>
        <w:t xml:space="preserve">euro</w:t>
      </w:r>
      <w:r w:rsidR="00000000" w:rsidRPr="00000000" w:rsidDel="00000000">
        <w:rPr>
          <w:rtl w:val="0"/>
        </w:rPr>
        <w:t xml:space="preserve">, kas veidoja 8,4 % no kopējiem kapitālsabiedrības izdevumiem (1 605 826 </w:t>
      </w:r>
      <w:r w:rsidR="00000000" w:rsidRPr="00000000" w:rsidDel="00000000">
        <w:rPr>
          <w:i w:val="1"/>
          <w:rtl w:val="0"/>
        </w:rPr>
        <w:t xml:space="preserve">euro</w:t>
      </w:r>
      <w:r w:rsidR="00000000" w:rsidRPr="00000000" w:rsidDel="00000000">
        <w:rPr>
          <w:rtl w:val="0"/>
        </w:rPr>
        <w:t xml:space="preserve">) kultūras pakalpojumu pieejamības nodrošināšanā. Savukārt dotācija no valsts pamatbudžeta, faktiski izlietota un uzskaitīta kā 2021.gada ieņēmumi no valsts dotācijas, bija 1 473 798 </w:t>
      </w:r>
      <w:r w:rsidR="00000000" w:rsidRPr="00000000" w:rsidDel="00000000">
        <w:rPr>
          <w:i w:val="1"/>
          <w:rtl w:val="0"/>
        </w:rPr>
        <w:t xml:space="preserve">euro</w:t>
      </w:r>
      <w:r w:rsidR="00000000" w:rsidRPr="00000000" w:rsidDel="00000000">
        <w:rPr>
          <w:rtl w:val="0"/>
        </w:rPr>
        <w:t xml:space="preserve"> jeb 91,8 % no kopējiem kapitālsabiedrības izdevumiem kultūras pakalpojumu pieejamības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Teātra repertuārā ir izrādes latviešu, latgaliešu un krievu valodā bez tulkojuma citās valodās, un tās netiek plaši reklamētas ārpus Latvijas, līdz ar to teātra izrādes ir paredzētas vietējai mērķauditorijai. Valodas barjeras dēļ izrādes nepiesaista skatītājus no citām Eiropas Savienības dalībvalstīm, līdz ar to piešķirtais valsts finansējums kapitālsabiedrībai nevar ietekmēt tirdzniecību starp dalībvalstīm un konkurenci, un šim atbalsta pasākumam (t.i., dotācijai no valsts pamatbudžeta) ir vienīgi vietēja mēroga ietekme. Ņemot vērā iepriekš minēto, ka ieņēmumi no saimnieciskās darbības 2021.gadā nepārsniedza 50 % no izdevumiem, kā arī nepastāv potenciāla ietekme uz tirdzniecību un konkurenci starp citām Eiropas Savienības dalībvalstīm, komercdarbības atbalstu regulējošās tiesību normas nav jāpiemēro.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Nr.72 7.3.1.1.apakšpunktu, ņemot vērā kapitālsabiedrības nepieciešamību veikt esošā izrāžu sagatavošanas un nodrošināšanas tehniskā aprīkojuma nomaiņu, kas ir morāli un tehniski novecojusi, kā arī nepieciešamību veikt jaunu mēbeļu iegādi aktieru grimētavām, līdzekļi, ko kapitālsabiedrība spēj piesaistīt pašu spēkiem, vidējā termiņa darbības ietvaros ir jāsaglabā kapitālsabiedrības rīcībā kapitālsabiedrības plānotajām investīcijām – materiāli tehniskās bāzes uzlabošanai – atbilstoši Stratēģijai, lai nodrošinātu ilgtermiņa attīstību un augstvērtīgu māksliniecisko darbību, kultūras vērtību radīšanu, izplatīšanu, saglabāšanu un popularizēšanu teātra mākslas jomā, kas tika noteikts Ministru kabineta 2015.gada 22.decembra sēdē (protokols Nr.68 80.§), pieņemot lēmumu par valsts līdzdalības saglabāšanu kapitālsabiedrībā. Stratēģijā minētajā laika periodā kapitālsabiedrībai ir nepieciešami ieguldījumi astoņu galvas mikrofonu komplektu ar radiosistēmu un jostas raidītāju iegādes izdevumu segšanai 7 300 </w:t>
      </w:r>
      <w:r w:rsidR="00000000" w:rsidRPr="00000000" w:rsidDel="00000000">
        <w:rPr>
          <w:i w:val="1"/>
          <w:rtl w:val="0"/>
        </w:rPr>
        <w:t xml:space="preserve">euro</w:t>
      </w:r>
      <w:r w:rsidR="00000000" w:rsidRPr="00000000" w:rsidDel="00000000">
        <w:rPr>
          <w:rtl w:val="0"/>
        </w:rPr>
        <w:t xml:space="preserve"> apmērā, no kuriem 2 097 </w:t>
      </w:r>
      <w:r w:rsidR="00000000" w:rsidRPr="00000000" w:rsidDel="00000000">
        <w:rPr>
          <w:i w:val="1"/>
          <w:rtl w:val="0"/>
        </w:rPr>
        <w:t xml:space="preserve">euro</w:t>
      </w:r>
      <w:r w:rsidR="00000000" w:rsidRPr="00000000" w:rsidDel="00000000">
        <w:rPr>
          <w:rtl w:val="0"/>
        </w:rPr>
        <w:t xml:space="preserve"> plānots segt no kapitālsabiedrības rīcībā atstātās peļņas daļas, bet pārējo summu no pašu ieņēmumiem, sešu prožektoru iegādes izdevumu segšanai 9 000 </w:t>
      </w:r>
      <w:r w:rsidR="00000000" w:rsidRPr="00000000" w:rsidDel="00000000">
        <w:rPr>
          <w:i w:val="1"/>
          <w:rtl w:val="0"/>
        </w:rPr>
        <w:t xml:space="preserve">euro</w:t>
      </w:r>
      <w:r w:rsidR="00000000" w:rsidRPr="00000000" w:rsidDel="00000000">
        <w:rPr>
          <w:rtl w:val="0"/>
        </w:rPr>
        <w:t xml:space="preserve"> apmērā, no kuriem 3 200 </w:t>
      </w:r>
      <w:r w:rsidR="00000000" w:rsidRPr="00000000" w:rsidDel="00000000">
        <w:rPr>
          <w:i w:val="1"/>
          <w:rtl w:val="0"/>
        </w:rPr>
        <w:t xml:space="preserve">euro</w:t>
      </w:r>
      <w:r w:rsidR="00000000" w:rsidRPr="00000000" w:rsidDel="00000000">
        <w:rPr>
          <w:rtl w:val="0"/>
        </w:rPr>
        <w:t xml:space="preserve"> plānots segt no kapitālsabiedrības rīcībā atstātās peļņas daļas, bet pārējo summu no pašu ieņēmumiem, četru LED starmešu iegādes izdevumu segšanai 12 000 </w:t>
      </w:r>
      <w:r w:rsidR="00000000" w:rsidRPr="00000000" w:rsidDel="00000000">
        <w:rPr>
          <w:i w:val="1"/>
          <w:rtl w:val="0"/>
        </w:rPr>
        <w:t xml:space="preserve">euro</w:t>
      </w:r>
      <w:r w:rsidR="00000000" w:rsidRPr="00000000" w:rsidDel="00000000">
        <w:rPr>
          <w:rtl w:val="0"/>
        </w:rPr>
        <w:t xml:space="preserve"> apmērā, no kuriem 3 200 </w:t>
      </w:r>
      <w:r w:rsidR="00000000" w:rsidRPr="00000000" w:rsidDel="00000000">
        <w:rPr>
          <w:i w:val="1"/>
          <w:rtl w:val="0"/>
        </w:rPr>
        <w:t xml:space="preserve">euro</w:t>
      </w:r>
      <w:r w:rsidR="00000000" w:rsidRPr="00000000" w:rsidDel="00000000">
        <w:rPr>
          <w:rtl w:val="0"/>
        </w:rPr>
        <w:t xml:space="preserve"> plānots segt no kapitālsabiedrības rīcībā atstātās peļņas daļas, bet pārējo summu no pašu ieņēmumiem, septiņu jaunu datoru un divu kopētāju iegādes izdevumu segšanai 13 400 </w:t>
      </w:r>
      <w:r w:rsidR="00000000" w:rsidRPr="00000000" w:rsidDel="00000000">
        <w:rPr>
          <w:i w:val="1"/>
          <w:rtl w:val="0"/>
        </w:rPr>
        <w:t xml:space="preserve">euro</w:t>
      </w:r>
      <w:r w:rsidR="00000000" w:rsidRPr="00000000" w:rsidDel="00000000">
        <w:rPr>
          <w:rtl w:val="0"/>
        </w:rPr>
        <w:t xml:space="preserve"> apmērā, no kuriem 4 032 </w:t>
      </w:r>
      <w:r w:rsidR="00000000" w:rsidRPr="00000000" w:rsidDel="00000000">
        <w:rPr>
          <w:i w:val="1"/>
          <w:rtl w:val="0"/>
        </w:rPr>
        <w:t xml:space="preserve">euro</w:t>
      </w:r>
      <w:r w:rsidR="00000000" w:rsidRPr="00000000" w:rsidDel="00000000">
        <w:rPr>
          <w:rtl w:val="0"/>
        </w:rPr>
        <w:t xml:space="preserve"> plānots segt no kapitālsabiedrības rīcībā atstātās peļņas daļas, bet pārējo summu no pašu ieņēmumiem, aktieru grimētavām jaunu mēbeļu iegādes izmaksu segšanai 14 800 </w:t>
      </w:r>
      <w:r w:rsidR="00000000" w:rsidRPr="00000000" w:rsidDel="00000000">
        <w:rPr>
          <w:i w:val="1"/>
          <w:rtl w:val="0"/>
        </w:rPr>
        <w:t xml:space="preserve">euro</w:t>
      </w:r>
      <w:r w:rsidR="00000000" w:rsidRPr="00000000" w:rsidDel="00000000">
        <w:rPr>
          <w:rtl w:val="0"/>
        </w:rPr>
        <w:t xml:space="preserve"> apmērā, no kuriem 4 032 </w:t>
      </w:r>
      <w:r w:rsidR="00000000" w:rsidRPr="00000000" w:rsidDel="00000000">
        <w:rPr>
          <w:i w:val="1"/>
          <w:rtl w:val="0"/>
        </w:rPr>
        <w:t xml:space="preserve">euro</w:t>
      </w:r>
      <w:r w:rsidR="00000000" w:rsidRPr="00000000" w:rsidDel="00000000">
        <w:rPr>
          <w:rtl w:val="0"/>
        </w:rPr>
        <w:t xml:space="preserve"> plānots segt no kapitālsabiedrības rīcībā atstātās peļņas daļas, bet pārējo summu no pašu ieņēmumiem.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kapitālsabiedrība spētu īstenot tās Stratēģijā noteiktos mērķus, ir nepieciešams veikt regulārus ieguldījumus kapitālsabiedrības materiāli tehniskās bāzes uzlabošanai atbilstoši kapitālsabiedrības Stratēģijai, lai nodrošinātu ilgtermiņa attīstību un augstvērtīgu māksliniecisko darbību, līdz ar to Kultūras ministrija ierosina Ministru kabinetam pieņemt lēmumu, ar kuru atļaut noteikt kapitālsabiedrības Stratēģijā atšķirīgu prognozējamo dividendēs izmaksājamo peļņas daļu 0 % apmērā no prognozētās pārskata gada peļņas.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199 278 584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142 881 000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84 975 000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199 278 584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142 881 000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84 975 000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199 278 584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142 881 000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84 975 000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199 278 584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142 881 000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84 975 000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2022.gadam” un likumā „Par vidēja termiņa ietvaru 2022., 2023. un 2024.gadam” ir ieplānoti ieņēmumi no dividendēm (ieņēmumi no valsts (pašvaldību) kapitāla izmantošanas) 2022.gadā 199 278 584 </w:t>
      </w:r>
      <w:r w:rsidR="00000000" w:rsidRPr="00000000" w:rsidDel="00000000">
        <w:rPr>
          <w:i w:val="1"/>
          <w:rtl w:val="0"/>
        </w:rPr>
        <w:t xml:space="preserve">euro</w:t>
      </w:r>
      <w:r w:rsidR="00000000" w:rsidRPr="00000000" w:rsidDel="00000000">
        <w:rPr>
          <w:rtl w:val="0"/>
        </w:rPr>
        <w:t xml:space="preserve">, 2023.gadā 142 881 000 </w:t>
      </w:r>
      <w:r w:rsidR="00000000" w:rsidRPr="00000000" w:rsidDel="00000000">
        <w:rPr>
          <w:i w:val="1"/>
          <w:rtl w:val="0"/>
        </w:rPr>
        <w:t xml:space="preserve">euro</w:t>
      </w:r>
      <w:r w:rsidR="00000000" w:rsidRPr="00000000" w:rsidDel="00000000">
        <w:rPr>
          <w:rtl w:val="0"/>
        </w:rPr>
        <w:t xml:space="preserve"> un 2024.gadā 84 975 000 </w:t>
      </w:r>
      <w:r w:rsidR="00000000" w:rsidRPr="00000000" w:rsidDel="00000000">
        <w:rPr>
          <w:i w:val="1"/>
          <w:rtl w:val="0"/>
        </w:rPr>
        <w:t xml:space="preserve">euro</w:t>
      </w:r>
      <w:r w:rsidR="00000000" w:rsidRPr="00000000" w:rsidDel="00000000">
        <w:rPr>
          <w:rtl w:val="0"/>
        </w:rPr>
        <w:t xml:space="preserve">. Projekta īstenošanas gadījumā 2022.gadā valsts budžets negūs ieņēmumus no dividendēm 2 097 </w:t>
      </w:r>
      <w:r w:rsidR="00000000" w:rsidRPr="00000000" w:rsidDel="00000000">
        <w:rPr>
          <w:i w:val="1"/>
          <w:rtl w:val="0"/>
        </w:rPr>
        <w:t xml:space="preserve">euro</w:t>
      </w:r>
      <w:r w:rsidR="00000000" w:rsidRPr="00000000" w:rsidDel="00000000">
        <w:rPr>
          <w:rtl w:val="0"/>
        </w:rPr>
        <w:t xml:space="preserve"> apmērā, 2023.gadā 3 200 </w:t>
      </w:r>
      <w:r w:rsidR="00000000" w:rsidRPr="00000000" w:rsidDel="00000000">
        <w:rPr>
          <w:i w:val="1"/>
          <w:rtl w:val="0"/>
        </w:rPr>
        <w:t xml:space="preserve">euro</w:t>
      </w:r>
      <w:r w:rsidR="00000000" w:rsidRPr="00000000" w:rsidDel="00000000">
        <w:rPr>
          <w:rtl w:val="0"/>
        </w:rPr>
        <w:t xml:space="preserve"> apmērā, 2024.gadā 3 200 </w:t>
      </w:r>
      <w:r w:rsidR="00000000" w:rsidRPr="00000000" w:rsidDel="00000000">
        <w:rPr>
          <w:i w:val="1"/>
          <w:rtl w:val="0"/>
        </w:rPr>
        <w:t xml:space="preserve">euro</w:t>
      </w:r>
      <w:r w:rsidR="00000000" w:rsidRPr="00000000" w:rsidDel="00000000">
        <w:rPr>
          <w:rtl w:val="0"/>
        </w:rPr>
        <w:t xml:space="preserve"> apmērā, 2025.gadā 4 032 </w:t>
      </w:r>
      <w:r w:rsidR="00000000" w:rsidRPr="00000000" w:rsidDel="00000000">
        <w:rPr>
          <w:i w:val="1"/>
          <w:rtl w:val="0"/>
        </w:rPr>
        <w:t xml:space="preserve">euro</w:t>
      </w:r>
      <w:r w:rsidR="00000000" w:rsidRPr="00000000" w:rsidDel="00000000">
        <w:rPr>
          <w:rtl w:val="0"/>
        </w:rPr>
        <w:t xml:space="preserve"> apmērā un 2026.gadā 4 032 </w:t>
      </w:r>
      <w:r w:rsidR="00000000" w:rsidRPr="00000000" w:rsidDel="00000000">
        <w:rPr>
          <w:i w:val="1"/>
          <w:rtl w:val="0"/>
        </w:rPr>
        <w:t xml:space="preserve">euro</w:t>
      </w:r>
      <w:r w:rsidR="00000000" w:rsidRPr="00000000" w:rsidDel="00000000">
        <w:rPr>
          <w:rtl w:val="0"/>
        </w:rPr>
        <w:t xml:space="preserve"> apmērā. Ņemot vērā to, ka, veicot dividenžu maksājumus, uzņēmumu ienākuma nodoklis tiek aprēķināts un nomaksāts uzņēmumu ienākuma nodokli regulējošos normatīvajos aktos noteiktajā kārtībā, lēmums par peļņas atstāšanu kapitālsabiedrības rīcībā samazinās arī uzņēmuma ienākuma nodokļa maksājumus.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kapitālsabiedrības peļņas izlietošanas kārtību,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„Daugavpils teātris”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Stratēģiju, pieņemot lēmumu par atšķirīgu dividendēs izmaksājamo summu (nosakot 0 % likmi), valsts budžetā piecos gados kopā netiktu pārskaitīta summa 16 561 </w:t>
      </w:r>
      <w:r w:rsidR="00000000" w:rsidRPr="00000000" w:rsidDel="00000000">
        <w:rPr>
          <w:i w:val="1"/>
          <w:rtl w:val="0"/>
        </w:rPr>
        <w:t xml:space="preserve">euro</w:t>
      </w:r>
      <w:r w:rsidR="00000000" w:rsidRPr="00000000" w:rsidDel="00000000">
        <w:rPr>
          <w:rtl w:val="0"/>
        </w:rPr>
        <w:t xml:space="preserve"> apmērā. Minētā summa paliktu kapitālsabiedrības rīcībā un tiktu novirzīta kapitālsabiedrības plānotajām investīcijām – materiāli tehniskās bāzes uzlabošanai – atbilstoši kapitālsabiedrības Stratēģijai, lai nodrošinātu ilgtermiņa attīstību un augstvērtīgu māksliniecisko darbību.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22-TA-2067</w:t>
    </w:r>
    <w:r>
      <w:br/>
    </w:r>
    <w:r w:rsidR="00000000" w:rsidRPr="00000000" w:rsidDel="00000000">
      <w:rPr>
        <w:rtl w:val="0"/>
      </w:rPr>
      <w:t xml:space="preserve">Izdrukāts 29.07.2026. 21.07 - 2.0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22-TA-2067</w:t>
    </w:r>
    <w:r>
      <w:br/>
    </w:r>
    <w:r w:rsidR="00000000" w:rsidRPr="00000000" w:rsidDel="00000000">
      <w:rPr>
        <w:rtl w:val="0"/>
      </w:rPr>
      <w:t xml:space="preserve">Izdrukāts 29.07.2026. 21.07 - 2.0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anotācija_(ex_ante)_22-TA-2067.docx</dc:title>
</cp:coreProperties>
</file>

<file path=docProps/custom.xml><?xml version="1.0" encoding="utf-8"?>
<Properties xmlns="http://schemas.openxmlformats.org/officeDocument/2006/custom-properties" xmlns:vt="http://schemas.openxmlformats.org/officeDocument/2006/docPropsVTypes"/>
</file>